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AB9F1" w14:textId="77777777" w:rsidR="00C44657" w:rsidRDefault="006518C2" w:rsidP="00C44657">
      <w:pPr>
        <w:spacing w:after="0" w:line="360" w:lineRule="auto"/>
        <w:jc w:val="center"/>
        <w:rPr>
          <w:rFonts w:eastAsia="Times New Roman" w:cs="Calibri"/>
          <w:b/>
          <w:sz w:val="24"/>
          <w:szCs w:val="24"/>
          <w:lang w:val="en-US"/>
        </w:rPr>
      </w:pPr>
      <w:bookmarkStart w:id="0" w:name="_GoBack"/>
      <w:bookmarkEnd w:id="0"/>
      <w:r>
        <w:rPr>
          <w:rFonts w:eastAsia="Times New Roman" w:cs="Calibri"/>
          <w:b/>
          <w:sz w:val="24"/>
          <w:szCs w:val="24"/>
          <w:lang w:val="en-US"/>
        </w:rPr>
        <w:t xml:space="preserve">INCENTIVES AND TAX REGIMEN IN COLOMBIA </w:t>
      </w:r>
    </w:p>
    <w:p w14:paraId="59BC09C6" w14:textId="77777777" w:rsidR="00C44657" w:rsidRPr="004A230F" w:rsidRDefault="00C44657" w:rsidP="00C44657">
      <w:pPr>
        <w:spacing w:after="0" w:line="360" w:lineRule="auto"/>
        <w:jc w:val="center"/>
        <w:rPr>
          <w:rFonts w:eastAsia="Times New Roman" w:cs="Calibri"/>
          <w:sz w:val="24"/>
          <w:szCs w:val="24"/>
          <w:lang w:val="en-US"/>
        </w:rPr>
      </w:pPr>
    </w:p>
    <w:p w14:paraId="1DCFC5C0" w14:textId="77777777" w:rsidR="00C44657" w:rsidRPr="004A230F" w:rsidRDefault="00C44657" w:rsidP="00C44657">
      <w:pPr>
        <w:spacing w:after="0" w:line="360" w:lineRule="auto"/>
        <w:jc w:val="center"/>
        <w:rPr>
          <w:rFonts w:eastAsia="Times New Roman" w:cs="Calibri"/>
          <w:b/>
          <w:sz w:val="24"/>
          <w:szCs w:val="24"/>
          <w:lang w:val="en-US"/>
        </w:rPr>
      </w:pPr>
    </w:p>
    <w:p w14:paraId="46E221E7" w14:textId="77777777" w:rsidR="00C44657" w:rsidRPr="004A230F" w:rsidRDefault="00C44657" w:rsidP="00C44657">
      <w:pPr>
        <w:spacing w:after="0" w:line="360" w:lineRule="auto"/>
        <w:jc w:val="center"/>
        <w:rPr>
          <w:rFonts w:eastAsia="Times New Roman" w:cs="Calibri"/>
          <w:b/>
          <w:sz w:val="24"/>
          <w:szCs w:val="24"/>
          <w:lang w:val="en-US"/>
        </w:rPr>
      </w:pPr>
    </w:p>
    <w:p w14:paraId="6C3B7BDF" w14:textId="77777777" w:rsidR="00C44657" w:rsidRPr="004A230F" w:rsidRDefault="00C44657" w:rsidP="00C44657">
      <w:pPr>
        <w:spacing w:after="0" w:line="360" w:lineRule="auto"/>
        <w:jc w:val="center"/>
        <w:rPr>
          <w:rFonts w:eastAsia="Times New Roman" w:cs="Calibri"/>
          <w:b/>
          <w:sz w:val="24"/>
          <w:szCs w:val="24"/>
          <w:lang w:val="en-US"/>
        </w:rPr>
      </w:pPr>
    </w:p>
    <w:p w14:paraId="410C1BDD" w14:textId="77777777" w:rsidR="00C44657" w:rsidRPr="004A230F" w:rsidRDefault="00C44657" w:rsidP="00C44657">
      <w:pPr>
        <w:spacing w:after="0" w:line="360" w:lineRule="auto"/>
        <w:jc w:val="center"/>
        <w:rPr>
          <w:rFonts w:eastAsia="Times New Roman" w:cs="Calibri"/>
          <w:b/>
          <w:sz w:val="24"/>
          <w:szCs w:val="24"/>
          <w:lang w:val="en-US"/>
        </w:rPr>
      </w:pPr>
    </w:p>
    <w:p w14:paraId="0895BEE3" w14:textId="77777777" w:rsidR="00C44657" w:rsidRPr="004A230F" w:rsidRDefault="00C44657" w:rsidP="00C44657">
      <w:pPr>
        <w:spacing w:after="0" w:line="360" w:lineRule="auto"/>
        <w:jc w:val="center"/>
        <w:rPr>
          <w:rFonts w:eastAsia="Times New Roman" w:cs="Calibri"/>
          <w:b/>
          <w:sz w:val="24"/>
          <w:szCs w:val="24"/>
          <w:lang w:val="en-US"/>
        </w:rPr>
      </w:pPr>
    </w:p>
    <w:p w14:paraId="760F0506" w14:textId="77777777" w:rsidR="00C44657" w:rsidRPr="004A230F" w:rsidRDefault="00C44657" w:rsidP="00C44657">
      <w:pPr>
        <w:tabs>
          <w:tab w:val="left" w:pos="4965"/>
        </w:tabs>
        <w:spacing w:after="0" w:line="360" w:lineRule="auto"/>
        <w:ind w:right="284"/>
        <w:rPr>
          <w:rFonts w:eastAsia="Times New Roman" w:cs="Calibri"/>
          <w:sz w:val="24"/>
          <w:szCs w:val="24"/>
          <w:lang w:val="en-US"/>
        </w:rPr>
      </w:pPr>
    </w:p>
    <w:p w14:paraId="3940A8FF" w14:textId="77777777" w:rsidR="00C44657" w:rsidRPr="004A230F" w:rsidRDefault="00C44657" w:rsidP="00C44657">
      <w:pPr>
        <w:spacing w:after="0" w:line="360" w:lineRule="auto"/>
        <w:ind w:right="284"/>
        <w:rPr>
          <w:rFonts w:eastAsia="Times New Roman" w:cs="Calibri"/>
          <w:sz w:val="24"/>
          <w:szCs w:val="24"/>
          <w:lang w:val="en-US"/>
        </w:rPr>
      </w:pPr>
    </w:p>
    <w:p w14:paraId="00A0152F" w14:textId="77777777" w:rsidR="004A230F" w:rsidRPr="004A230F" w:rsidRDefault="004A230F" w:rsidP="00C44657">
      <w:pPr>
        <w:spacing w:after="0" w:line="360" w:lineRule="auto"/>
        <w:ind w:right="284"/>
        <w:rPr>
          <w:rFonts w:eastAsia="Times New Roman" w:cs="Calibri"/>
          <w:sz w:val="24"/>
          <w:szCs w:val="24"/>
          <w:lang w:val="en-US"/>
        </w:rPr>
      </w:pPr>
    </w:p>
    <w:p w14:paraId="185957AF" w14:textId="77777777" w:rsidR="00C44657" w:rsidRPr="004A230F" w:rsidRDefault="00C44657" w:rsidP="00C44657">
      <w:pPr>
        <w:spacing w:after="0" w:line="360" w:lineRule="auto"/>
        <w:ind w:right="284"/>
        <w:rPr>
          <w:rFonts w:eastAsia="Times New Roman" w:cs="Calibri"/>
          <w:sz w:val="24"/>
          <w:szCs w:val="24"/>
          <w:lang w:val="en-US"/>
        </w:rPr>
      </w:pPr>
    </w:p>
    <w:p w14:paraId="3685A37A" w14:textId="77777777" w:rsidR="00C44657" w:rsidRPr="004A230F" w:rsidRDefault="00C44657" w:rsidP="00C44657">
      <w:pPr>
        <w:spacing w:after="0" w:line="360" w:lineRule="auto"/>
        <w:ind w:right="284"/>
        <w:rPr>
          <w:rFonts w:eastAsia="Times New Roman" w:cs="Calibri"/>
          <w:sz w:val="24"/>
          <w:szCs w:val="24"/>
          <w:lang w:val="en-US"/>
        </w:rPr>
      </w:pPr>
    </w:p>
    <w:p w14:paraId="3FDD4890" w14:textId="77777777" w:rsidR="00C44657" w:rsidRPr="004A230F" w:rsidRDefault="00C44657" w:rsidP="00C44657">
      <w:pPr>
        <w:spacing w:after="0" w:line="360" w:lineRule="auto"/>
        <w:ind w:right="284"/>
        <w:rPr>
          <w:rFonts w:eastAsia="Times New Roman" w:cs="Calibri"/>
          <w:sz w:val="24"/>
          <w:szCs w:val="24"/>
          <w:lang w:val="en-US"/>
        </w:rPr>
      </w:pPr>
    </w:p>
    <w:p w14:paraId="2735982D" w14:textId="77777777" w:rsidR="00C44657" w:rsidRPr="004A230F" w:rsidRDefault="00C44657" w:rsidP="00C44657">
      <w:pPr>
        <w:spacing w:after="0" w:line="360" w:lineRule="auto"/>
        <w:jc w:val="center"/>
        <w:rPr>
          <w:rFonts w:cs="Calibri"/>
          <w:b/>
          <w:sz w:val="24"/>
          <w:szCs w:val="24"/>
          <w:lang w:val="en-US"/>
        </w:rPr>
      </w:pPr>
      <w:r w:rsidRPr="004A230F">
        <w:rPr>
          <w:noProof/>
          <w:sz w:val="24"/>
          <w:szCs w:val="24"/>
          <w:lang w:val="tr-TR" w:eastAsia="tr-TR"/>
        </w:rPr>
        <w:drawing>
          <wp:inline distT="0" distB="0" distL="0" distR="0" wp14:anchorId="76977947" wp14:editId="2C148BF6">
            <wp:extent cx="1581150" cy="1085850"/>
            <wp:effectExtent l="0" t="0" r="0" b="0"/>
            <wp:docPr id="9" name="Picture 2" descr="\\10.226.56.34\t\Clientes-McCann\Proexport Colombia\2014\Institucional\JOB (865) - (PROCOLOMBIA)\Adaptaciones arte final\versiones\NOVIEMBRE 11\MEMBRETE PAÍSES\MEMBRETE_logo_Oficinas Proexport en Bogo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226.56.34\t\Clientes-McCann\Proexport Colombia\2014\Institucional\JOB (865) - (PROCOLOMBIA)\Adaptaciones arte final\versiones\NOVIEMBRE 11\MEMBRETE PAÍSES\MEMBRETE_logo_Oficinas Proexport en Bogotá.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1326" t="28666" r="26640" b="30000"/>
                    <a:stretch/>
                  </pic:blipFill>
                  <pic:spPr bwMode="auto">
                    <a:xfrm>
                      <a:off x="0" y="0"/>
                      <a:ext cx="1584479" cy="1088136"/>
                    </a:xfrm>
                    <a:prstGeom prst="rect">
                      <a:avLst/>
                    </a:prstGeom>
                    <a:noFill/>
                    <a:ln>
                      <a:noFill/>
                    </a:ln>
                    <a:extLst>
                      <a:ext uri="{53640926-AAD7-44D8-BBD7-CCE9431645EC}">
                        <a14:shadowObscured xmlns:a14="http://schemas.microsoft.com/office/drawing/2010/main"/>
                      </a:ext>
                    </a:extLst>
                  </pic:spPr>
                </pic:pic>
              </a:graphicData>
            </a:graphic>
          </wp:inline>
        </w:drawing>
      </w:r>
    </w:p>
    <w:p w14:paraId="4E1BC459" w14:textId="77777777" w:rsidR="00C44657" w:rsidRPr="004A230F" w:rsidRDefault="00C44657" w:rsidP="00C44657">
      <w:pPr>
        <w:spacing w:after="0" w:line="360" w:lineRule="auto"/>
        <w:jc w:val="center"/>
        <w:rPr>
          <w:rFonts w:cs="Calibri"/>
          <w:sz w:val="24"/>
          <w:szCs w:val="24"/>
          <w:lang w:val="en-US"/>
        </w:rPr>
      </w:pPr>
    </w:p>
    <w:p w14:paraId="1A48678C" w14:textId="77777777" w:rsidR="00C44657" w:rsidRPr="004A230F" w:rsidRDefault="00C44657" w:rsidP="00C44657">
      <w:pPr>
        <w:tabs>
          <w:tab w:val="left" w:pos="3765"/>
        </w:tabs>
        <w:spacing w:after="0" w:line="360" w:lineRule="auto"/>
        <w:ind w:right="284"/>
        <w:jc w:val="center"/>
        <w:rPr>
          <w:rFonts w:cs="Calibri"/>
          <w:sz w:val="24"/>
          <w:szCs w:val="24"/>
          <w:lang w:val="en-US"/>
        </w:rPr>
      </w:pPr>
    </w:p>
    <w:p w14:paraId="66B917D6" w14:textId="77777777" w:rsidR="00C44657" w:rsidRPr="004A230F" w:rsidRDefault="00C44657" w:rsidP="00C44657">
      <w:pPr>
        <w:tabs>
          <w:tab w:val="left" w:pos="3765"/>
        </w:tabs>
        <w:spacing w:after="0" w:line="360" w:lineRule="auto"/>
        <w:ind w:right="284"/>
        <w:jc w:val="center"/>
        <w:rPr>
          <w:rFonts w:cs="Calibri"/>
          <w:sz w:val="24"/>
          <w:szCs w:val="24"/>
          <w:lang w:val="en-US"/>
        </w:rPr>
      </w:pPr>
    </w:p>
    <w:p w14:paraId="65D44C80" w14:textId="77777777" w:rsidR="00C44657" w:rsidRPr="004A230F" w:rsidRDefault="00C44657" w:rsidP="00C44657">
      <w:pPr>
        <w:tabs>
          <w:tab w:val="left" w:pos="3765"/>
        </w:tabs>
        <w:spacing w:after="0" w:line="360" w:lineRule="auto"/>
        <w:ind w:right="284"/>
        <w:jc w:val="center"/>
        <w:rPr>
          <w:rFonts w:cs="Calibri"/>
          <w:b/>
          <w:sz w:val="24"/>
          <w:szCs w:val="24"/>
          <w:lang w:val="en-US"/>
        </w:rPr>
      </w:pPr>
    </w:p>
    <w:p w14:paraId="1C87A996" w14:textId="77777777" w:rsidR="00C44657" w:rsidRPr="004A230F" w:rsidRDefault="00C44657" w:rsidP="00C44657">
      <w:pPr>
        <w:tabs>
          <w:tab w:val="left" w:pos="3765"/>
        </w:tabs>
        <w:spacing w:after="0" w:line="360" w:lineRule="auto"/>
        <w:ind w:right="284"/>
        <w:jc w:val="center"/>
        <w:rPr>
          <w:rFonts w:cs="Calibri"/>
          <w:b/>
          <w:sz w:val="24"/>
          <w:szCs w:val="24"/>
          <w:lang w:val="en-US"/>
        </w:rPr>
      </w:pPr>
    </w:p>
    <w:p w14:paraId="1B81A63A" w14:textId="77777777" w:rsidR="00C44657" w:rsidRPr="004A230F" w:rsidRDefault="00C44657" w:rsidP="00C44657">
      <w:pPr>
        <w:tabs>
          <w:tab w:val="left" w:pos="3765"/>
        </w:tabs>
        <w:spacing w:after="0" w:line="360" w:lineRule="auto"/>
        <w:ind w:right="284"/>
        <w:jc w:val="center"/>
        <w:rPr>
          <w:rFonts w:cs="Calibri"/>
          <w:b/>
          <w:sz w:val="24"/>
          <w:szCs w:val="24"/>
          <w:lang w:val="en-US"/>
        </w:rPr>
      </w:pPr>
    </w:p>
    <w:p w14:paraId="57D2C487" w14:textId="6673C052" w:rsidR="00C44657" w:rsidRDefault="00C44657" w:rsidP="00C44657">
      <w:pPr>
        <w:tabs>
          <w:tab w:val="left" w:pos="3765"/>
        </w:tabs>
        <w:spacing w:after="0" w:line="360" w:lineRule="auto"/>
        <w:ind w:right="284"/>
        <w:jc w:val="center"/>
        <w:rPr>
          <w:rFonts w:cs="Calibri"/>
          <w:b/>
          <w:sz w:val="24"/>
          <w:szCs w:val="24"/>
          <w:lang w:val="en-US"/>
        </w:rPr>
      </w:pPr>
    </w:p>
    <w:p w14:paraId="01A60919" w14:textId="77777777" w:rsidR="00BE0341" w:rsidRPr="004A230F" w:rsidRDefault="00BE0341" w:rsidP="00C44657">
      <w:pPr>
        <w:tabs>
          <w:tab w:val="left" w:pos="3765"/>
        </w:tabs>
        <w:spacing w:after="0" w:line="360" w:lineRule="auto"/>
        <w:ind w:right="284"/>
        <w:jc w:val="center"/>
        <w:rPr>
          <w:rFonts w:cs="Calibri"/>
          <w:b/>
          <w:sz w:val="24"/>
          <w:szCs w:val="24"/>
          <w:lang w:val="en-US"/>
        </w:rPr>
      </w:pPr>
    </w:p>
    <w:p w14:paraId="4BCA577E" w14:textId="1853EB3A" w:rsidR="00C44657" w:rsidRPr="004A230F" w:rsidRDefault="00C44657" w:rsidP="00C44657">
      <w:pPr>
        <w:spacing w:after="0" w:line="360" w:lineRule="auto"/>
        <w:jc w:val="center"/>
        <w:rPr>
          <w:rFonts w:cs="Calibri"/>
          <w:b/>
          <w:sz w:val="24"/>
          <w:szCs w:val="24"/>
          <w:lang w:val="en-US"/>
        </w:rPr>
      </w:pPr>
      <w:r w:rsidRPr="004A230F">
        <w:rPr>
          <w:rFonts w:cs="Calibri"/>
          <w:b/>
          <w:sz w:val="24"/>
          <w:szCs w:val="24"/>
          <w:lang w:val="en-US"/>
        </w:rPr>
        <w:t>Bogot</w:t>
      </w:r>
      <w:r w:rsidR="004A230F" w:rsidRPr="004A230F">
        <w:rPr>
          <w:rFonts w:cs="Calibri"/>
          <w:b/>
          <w:sz w:val="24"/>
          <w:szCs w:val="24"/>
          <w:lang w:val="en-US"/>
        </w:rPr>
        <w:t>a</w:t>
      </w:r>
      <w:r w:rsidRPr="004A230F">
        <w:rPr>
          <w:rFonts w:cs="Calibri"/>
          <w:b/>
          <w:sz w:val="24"/>
          <w:szCs w:val="24"/>
          <w:lang w:val="en-US"/>
        </w:rPr>
        <w:t xml:space="preserve">, </w:t>
      </w:r>
      <w:r w:rsidR="006518C2">
        <w:rPr>
          <w:rFonts w:cs="Calibri"/>
          <w:b/>
          <w:sz w:val="24"/>
          <w:szCs w:val="24"/>
          <w:lang w:val="en-US"/>
        </w:rPr>
        <w:t>February  2019</w:t>
      </w:r>
    </w:p>
    <w:p w14:paraId="2C8B5E8E" w14:textId="77777777" w:rsidR="00C44657" w:rsidRPr="004A230F" w:rsidRDefault="00C44657" w:rsidP="00C44657">
      <w:pPr>
        <w:spacing w:after="0" w:line="360" w:lineRule="auto"/>
        <w:jc w:val="center"/>
        <w:rPr>
          <w:rFonts w:cs="Calibri"/>
          <w:b/>
          <w:sz w:val="24"/>
          <w:szCs w:val="24"/>
          <w:lang w:val="en-US"/>
        </w:rPr>
      </w:pPr>
    </w:p>
    <w:p w14:paraId="79B748FF" w14:textId="77777777" w:rsidR="00C44657" w:rsidRPr="004A230F" w:rsidRDefault="00C44657" w:rsidP="00C44657">
      <w:pPr>
        <w:spacing w:after="160" w:line="360" w:lineRule="auto"/>
        <w:rPr>
          <w:rFonts w:cs="Calibri"/>
          <w:b/>
          <w:sz w:val="24"/>
          <w:szCs w:val="24"/>
          <w:lang w:val="en-US"/>
        </w:rPr>
      </w:pPr>
    </w:p>
    <w:p w14:paraId="07784F8F" w14:textId="77777777" w:rsidR="00C27358" w:rsidRPr="006518C2" w:rsidRDefault="00C27358" w:rsidP="006E1919">
      <w:pPr>
        <w:rPr>
          <w:b/>
          <w:lang w:val="en-US" w:eastAsia="es-ES"/>
        </w:rPr>
      </w:pPr>
    </w:p>
    <w:p w14:paraId="2D90CA3C" w14:textId="77777777" w:rsidR="006518C2" w:rsidRPr="006518C2" w:rsidRDefault="006518C2" w:rsidP="003F5734">
      <w:pPr>
        <w:pStyle w:val="ListParagraph"/>
        <w:ind w:left="360"/>
        <w:jc w:val="both"/>
        <w:rPr>
          <w:lang w:val="en-US" w:eastAsia="es-ES"/>
        </w:rPr>
      </w:pPr>
    </w:p>
    <w:p w14:paraId="26AB3CDC" w14:textId="77777777" w:rsidR="006518C2" w:rsidRDefault="006518C2" w:rsidP="003F5734">
      <w:pPr>
        <w:pStyle w:val="ListParagraph"/>
        <w:jc w:val="both"/>
        <w:rPr>
          <w:lang w:val="en-US" w:eastAsia="es-ES"/>
        </w:rPr>
      </w:pPr>
    </w:p>
    <w:p w14:paraId="124A8E54" w14:textId="77777777" w:rsidR="006518C2" w:rsidRPr="003479F6" w:rsidRDefault="00F85D82" w:rsidP="00BD4B1F">
      <w:pPr>
        <w:pStyle w:val="Heading1"/>
        <w:ind w:left="0"/>
        <w:jc w:val="center"/>
        <w:rPr>
          <w:color w:val="auto"/>
        </w:rPr>
      </w:pPr>
      <w:r w:rsidRPr="003479F6">
        <w:rPr>
          <w:color w:val="auto"/>
        </w:rPr>
        <w:t>Energy Incentives in Colombia</w:t>
      </w:r>
    </w:p>
    <w:p w14:paraId="5142EE27" w14:textId="77777777" w:rsidR="00BD4B1F" w:rsidRPr="00BD4B1F" w:rsidRDefault="00BD4B1F" w:rsidP="002F5174">
      <w:pPr>
        <w:pStyle w:val="Heading2"/>
        <w:rPr>
          <w:rFonts w:asciiTheme="minorHAnsi" w:hAnsiTheme="minorHAnsi" w:cstheme="minorHAnsi"/>
          <w:sz w:val="28"/>
          <w:lang w:val="en-US"/>
        </w:rPr>
      </w:pPr>
      <w:r w:rsidRPr="00BD4B1F">
        <w:rPr>
          <w:rFonts w:asciiTheme="minorHAnsi" w:hAnsiTheme="minorHAnsi" w:cstheme="minorHAnsi"/>
          <w:sz w:val="28"/>
          <w:lang w:val="en-US"/>
        </w:rPr>
        <w:t>Law 1715 of 2014</w:t>
      </w:r>
    </w:p>
    <w:p w14:paraId="0FB72C82" w14:textId="77777777" w:rsidR="005065DA" w:rsidRDefault="006518C2" w:rsidP="005065DA">
      <w:pPr>
        <w:spacing w:after="0" w:line="240" w:lineRule="auto"/>
        <w:jc w:val="both"/>
        <w:rPr>
          <w:rFonts w:eastAsia="Cambria" w:cs="Calibri"/>
          <w:lang w:val="en-US"/>
        </w:rPr>
      </w:pPr>
      <w:r>
        <w:rPr>
          <w:lang w:val="en-US"/>
        </w:rPr>
        <w:t>Law 1715 of 2014 establishe</w:t>
      </w:r>
      <w:r w:rsidR="005065DA">
        <w:rPr>
          <w:lang w:val="en-US"/>
        </w:rPr>
        <w:t>s</w:t>
      </w:r>
      <w:r>
        <w:rPr>
          <w:lang w:val="en-US"/>
        </w:rPr>
        <w:t xml:space="preserve"> a series of incentives </w:t>
      </w:r>
      <w:r w:rsidR="00F85D82" w:rsidRPr="00EE0698">
        <w:rPr>
          <w:rFonts w:eastAsia="Cambria" w:cs="Calibri"/>
          <w:lang w:val="en-US"/>
        </w:rPr>
        <w:t xml:space="preserve">to stimulate investment, research and development for the production and use of energy from Non- conventional sources ("NCE").  NCE </w:t>
      </w:r>
      <w:r w:rsidR="00F85D82" w:rsidRPr="00EE0698">
        <w:rPr>
          <w:rFonts w:eastAsia="Cambria" w:cs="Calibri"/>
          <w:shd w:val="clear" w:color="auto" w:fill="FFFFFF"/>
          <w:lang w:val="en-US"/>
        </w:rPr>
        <w:t>is generated by using wind, tides, solar, geothermal heat, and biomass including farm and animal waste</w:t>
      </w:r>
      <w:r w:rsidR="00F85D82">
        <w:rPr>
          <w:rFonts w:eastAsia="Cambria" w:cs="Calibri"/>
          <w:shd w:val="clear" w:color="auto" w:fill="FFFFFF"/>
          <w:lang w:val="en-US"/>
        </w:rPr>
        <w:t xml:space="preserve">. </w:t>
      </w:r>
      <w:r>
        <w:rPr>
          <w:lang w:val="en-US"/>
        </w:rPr>
        <w:t xml:space="preserve">Said Law also established an incentive for companies that make investments in energy efficiency. </w:t>
      </w:r>
      <w:r w:rsidR="005065DA" w:rsidRPr="00EE0698">
        <w:rPr>
          <w:rFonts w:eastAsia="Cambria" w:cs="Calibri"/>
          <w:lang w:val="en-US"/>
        </w:rPr>
        <w:t>Incentives for investment in NCE projects are:</w:t>
      </w:r>
    </w:p>
    <w:p w14:paraId="01331EA5" w14:textId="77777777" w:rsidR="005065DA" w:rsidRPr="00EE0698" w:rsidRDefault="005065DA" w:rsidP="005065DA">
      <w:pPr>
        <w:spacing w:after="0" w:line="240" w:lineRule="auto"/>
        <w:jc w:val="both"/>
        <w:rPr>
          <w:rFonts w:eastAsia="Cambria" w:cs="Calibri"/>
          <w:lang w:val="en-US"/>
        </w:rPr>
      </w:pPr>
    </w:p>
    <w:p w14:paraId="212B41E3" w14:textId="77777777" w:rsidR="005065DA" w:rsidRPr="005065DA" w:rsidRDefault="005065DA" w:rsidP="005065DA">
      <w:pPr>
        <w:numPr>
          <w:ilvl w:val="0"/>
          <w:numId w:val="23"/>
        </w:numPr>
        <w:spacing w:after="0" w:line="240" w:lineRule="auto"/>
        <w:jc w:val="both"/>
        <w:rPr>
          <w:rFonts w:cs="Calibri"/>
          <w:lang w:val="en-US" w:eastAsia="es-CO"/>
        </w:rPr>
      </w:pPr>
      <w:r w:rsidRPr="00EE0698">
        <w:rPr>
          <w:rFonts w:cs="Calibri"/>
          <w:lang w:val="en-US" w:eastAsia="es-CO"/>
        </w:rPr>
        <w:t>Income tax exemption for five years, following the taxable year in which the investment is made, for 50% of the total value of the investment.</w:t>
      </w:r>
      <w:r w:rsidRPr="00EE0698">
        <w:rPr>
          <w:rFonts w:cs="Calibri"/>
          <w:bCs/>
          <w:lang w:val="en-US" w:eastAsia="es-CO"/>
        </w:rPr>
        <w:t xml:space="preserve"> </w:t>
      </w:r>
    </w:p>
    <w:p w14:paraId="138B5FCF" w14:textId="77777777" w:rsidR="005065DA" w:rsidRPr="00EE0698" w:rsidRDefault="005065DA" w:rsidP="005065DA">
      <w:pPr>
        <w:spacing w:after="0" w:line="240" w:lineRule="auto"/>
        <w:ind w:left="720"/>
        <w:jc w:val="both"/>
        <w:rPr>
          <w:rFonts w:cs="Calibri"/>
          <w:lang w:val="en-US" w:eastAsia="es-CO"/>
        </w:rPr>
      </w:pPr>
    </w:p>
    <w:p w14:paraId="64E74BF8" w14:textId="77777777" w:rsidR="006518C2" w:rsidRDefault="005065DA" w:rsidP="005065DA">
      <w:pPr>
        <w:pStyle w:val="ListParagraph"/>
        <w:spacing w:after="0" w:line="240" w:lineRule="auto"/>
        <w:jc w:val="both"/>
        <w:rPr>
          <w:lang w:val="en-US"/>
        </w:rPr>
      </w:pPr>
      <w:r>
        <w:rPr>
          <w:b/>
          <w:lang w:val="en-US"/>
        </w:rPr>
        <w:t>S</w:t>
      </w:r>
      <w:r w:rsidR="006518C2">
        <w:rPr>
          <w:b/>
          <w:lang w:val="en-US"/>
        </w:rPr>
        <w:t xml:space="preserve">cope: </w:t>
      </w:r>
    </w:p>
    <w:p w14:paraId="185A6165" w14:textId="77777777" w:rsidR="006518C2" w:rsidRDefault="006518C2" w:rsidP="003F5734">
      <w:pPr>
        <w:pStyle w:val="ListParagraph"/>
        <w:spacing w:line="240" w:lineRule="auto"/>
        <w:jc w:val="both"/>
        <w:rPr>
          <w:lang w:val="en-US"/>
        </w:rPr>
      </w:pPr>
    </w:p>
    <w:p w14:paraId="5E5717E3" w14:textId="77777777" w:rsidR="006518C2" w:rsidRPr="005065DA" w:rsidRDefault="006518C2" w:rsidP="005065DA">
      <w:pPr>
        <w:pStyle w:val="ListParagraph"/>
        <w:numPr>
          <w:ilvl w:val="1"/>
          <w:numId w:val="23"/>
        </w:numPr>
        <w:spacing w:after="0" w:line="240" w:lineRule="auto"/>
        <w:jc w:val="both"/>
        <w:rPr>
          <w:rStyle w:val="a0"/>
          <w:lang w:val="en-US"/>
        </w:rPr>
      </w:pPr>
      <w:r w:rsidRPr="005065DA">
        <w:rPr>
          <w:b/>
          <w:lang w:val="en-US"/>
        </w:rPr>
        <w:t>Duration:</w:t>
      </w:r>
      <w:r w:rsidRPr="005065DA">
        <w:rPr>
          <w:lang w:val="en-US"/>
        </w:rPr>
        <w:t xml:space="preserve"> The deduction can be made the following 5 years of the following year in which the investment was made. </w:t>
      </w:r>
    </w:p>
    <w:p w14:paraId="4E3C4225" w14:textId="77777777" w:rsidR="006518C2" w:rsidRPr="005065DA" w:rsidRDefault="006518C2" w:rsidP="005065DA">
      <w:pPr>
        <w:pStyle w:val="ListParagraph"/>
        <w:numPr>
          <w:ilvl w:val="1"/>
          <w:numId w:val="23"/>
        </w:numPr>
        <w:spacing w:after="0" w:line="240" w:lineRule="auto"/>
        <w:jc w:val="both"/>
        <w:rPr>
          <w:rStyle w:val="a0"/>
          <w:lang w:val="en-US"/>
        </w:rPr>
      </w:pPr>
      <w:r w:rsidRPr="005065DA">
        <w:rPr>
          <w:rStyle w:val="a0"/>
          <w:b/>
          <w:lang w:val="en-US"/>
        </w:rPr>
        <w:t xml:space="preserve">Maximum deductible amount: </w:t>
      </w:r>
      <w:r w:rsidRPr="005065DA">
        <w:rPr>
          <w:rStyle w:val="a0"/>
          <w:lang w:val="en-US"/>
        </w:rPr>
        <w:t xml:space="preserve">The deductible amount for this concept cannot exceed 50% of the gross income of the tax payer. </w:t>
      </w:r>
    </w:p>
    <w:p w14:paraId="78C267BF" w14:textId="77777777" w:rsidR="006518C2" w:rsidRPr="005065DA" w:rsidRDefault="006518C2" w:rsidP="005065DA">
      <w:pPr>
        <w:pStyle w:val="ListParagraph"/>
        <w:numPr>
          <w:ilvl w:val="1"/>
          <w:numId w:val="23"/>
        </w:numPr>
        <w:spacing w:after="0" w:line="240" w:lineRule="auto"/>
        <w:jc w:val="both"/>
        <w:rPr>
          <w:rStyle w:val="a0"/>
          <w:b/>
          <w:lang w:val="en-US"/>
        </w:rPr>
      </w:pPr>
      <w:r w:rsidRPr="005065DA">
        <w:rPr>
          <w:rStyle w:val="a0"/>
          <w:b/>
          <w:lang w:val="en-US"/>
        </w:rPr>
        <w:t xml:space="preserve">Investments made by leasing: </w:t>
      </w:r>
      <w:r w:rsidRPr="005065DA">
        <w:rPr>
          <w:rStyle w:val="a0"/>
          <w:lang w:val="en-US"/>
        </w:rPr>
        <w:t xml:space="preserve">This deduction is applicable to investment carried through leasing contacts with irrevocable purchase option. </w:t>
      </w:r>
    </w:p>
    <w:p w14:paraId="5512F037" w14:textId="77777777" w:rsidR="006518C2" w:rsidRPr="005065DA" w:rsidRDefault="006518C2" w:rsidP="005065DA">
      <w:pPr>
        <w:pStyle w:val="ListParagraph"/>
        <w:numPr>
          <w:ilvl w:val="1"/>
          <w:numId w:val="23"/>
        </w:numPr>
        <w:spacing w:after="0" w:line="240" w:lineRule="auto"/>
        <w:jc w:val="both"/>
        <w:rPr>
          <w:rStyle w:val="a0"/>
          <w:b/>
          <w:lang w:val="en-US"/>
        </w:rPr>
      </w:pPr>
      <w:r w:rsidRPr="005065DA">
        <w:rPr>
          <w:rStyle w:val="a0"/>
          <w:b/>
          <w:lang w:val="en-US"/>
        </w:rPr>
        <w:t xml:space="preserve">Cancellation, resolution or termination of contracts for the investment: </w:t>
      </w:r>
      <w:r w:rsidRPr="005065DA">
        <w:rPr>
          <w:rStyle w:val="a0"/>
          <w:lang w:val="en-US"/>
        </w:rPr>
        <w:t xml:space="preserve">When the contacts that were signed to carry out the investment are cancelled, resolute or terminated the tax payer will have to return the benefit incorporating it as gross income in the year the contract is cancelled, resolute or rescinded according to the conditions in articles 195 and 196 of the Tax Code.  </w:t>
      </w:r>
    </w:p>
    <w:p w14:paraId="52964220" w14:textId="77777777" w:rsidR="006518C2" w:rsidRDefault="006518C2" w:rsidP="003F5734">
      <w:pPr>
        <w:pStyle w:val="ListParagraph"/>
        <w:spacing w:line="240" w:lineRule="auto"/>
        <w:jc w:val="both"/>
        <w:rPr>
          <w:rStyle w:val="a0"/>
          <w:b/>
          <w:lang w:val="en-US"/>
        </w:rPr>
      </w:pPr>
    </w:p>
    <w:p w14:paraId="69739ECA" w14:textId="77777777" w:rsidR="006518C2" w:rsidRDefault="006518C2" w:rsidP="005065DA">
      <w:pPr>
        <w:pStyle w:val="ListParagraph"/>
        <w:spacing w:after="0" w:line="240" w:lineRule="auto"/>
        <w:jc w:val="both"/>
        <w:rPr>
          <w:rStyle w:val="a0"/>
          <w:b/>
          <w:lang w:val="en-US"/>
        </w:rPr>
      </w:pPr>
      <w:r>
        <w:rPr>
          <w:rStyle w:val="a0"/>
          <w:b/>
          <w:lang w:val="en-US"/>
        </w:rPr>
        <w:t xml:space="preserve">Requirements: </w:t>
      </w:r>
    </w:p>
    <w:p w14:paraId="139F8B12" w14:textId="77777777" w:rsidR="006518C2" w:rsidRDefault="006518C2" w:rsidP="003F5734">
      <w:pPr>
        <w:pStyle w:val="ListParagraph"/>
        <w:spacing w:after="0" w:line="240" w:lineRule="auto"/>
        <w:jc w:val="both"/>
        <w:rPr>
          <w:rStyle w:val="a0"/>
          <w:b/>
          <w:lang w:val="en-US"/>
        </w:rPr>
      </w:pPr>
    </w:p>
    <w:p w14:paraId="6AA6E34A" w14:textId="77777777" w:rsidR="006518C2" w:rsidRDefault="006518C2" w:rsidP="005065DA">
      <w:pPr>
        <w:spacing w:line="240" w:lineRule="auto"/>
        <w:ind w:left="720"/>
        <w:jc w:val="both"/>
        <w:rPr>
          <w:rStyle w:val="apple-converted-space"/>
          <w:rFonts w:cs="Times"/>
          <w:iCs/>
          <w:lang w:val="en-US"/>
        </w:rPr>
      </w:pPr>
      <w:r>
        <w:rPr>
          <w:rStyle w:val="apple-converted-space"/>
          <w:rFonts w:cs="Times"/>
          <w:iCs/>
          <w:lang w:val="en-US"/>
        </w:rPr>
        <w:t xml:space="preserve">The procedure to apply for the benefit is established in Resolution 1283 of 2016 of the Ministry of Environment. The interested party will have to submit before the National Authority of Environmental Licenses (ANLA for its acronym in Spanish) the </w:t>
      </w:r>
      <w:r w:rsidR="005E5CEC">
        <w:rPr>
          <w:rStyle w:val="apple-converted-space"/>
          <w:rFonts w:cs="Times"/>
          <w:iCs/>
          <w:lang w:val="en-US"/>
        </w:rPr>
        <w:t xml:space="preserve">tax benefits </w:t>
      </w:r>
      <w:r>
        <w:rPr>
          <w:rStyle w:val="apple-converted-space"/>
          <w:rFonts w:cs="Times"/>
          <w:iCs/>
          <w:lang w:val="en-US"/>
        </w:rPr>
        <w:t>single application for non-conventional energy sources and energy efficiency</w:t>
      </w:r>
      <w:r w:rsidR="005E5CEC">
        <w:rPr>
          <w:rStyle w:val="apple-converted-space"/>
          <w:rFonts w:cs="Times"/>
          <w:iCs/>
          <w:lang w:val="en-US"/>
        </w:rPr>
        <w:t>.</w:t>
      </w:r>
      <w:r>
        <w:rPr>
          <w:rStyle w:val="apple-converted-space"/>
          <w:rFonts w:cs="Times"/>
          <w:iCs/>
          <w:lang w:val="en-US"/>
        </w:rPr>
        <w:t xml:space="preserve"> </w:t>
      </w:r>
      <w:r w:rsidR="005E5CEC">
        <w:rPr>
          <w:rStyle w:val="apple-converted-space"/>
          <w:rFonts w:cs="Times"/>
          <w:iCs/>
          <w:lang w:val="en-US"/>
        </w:rPr>
        <w:t xml:space="preserve">The </w:t>
      </w:r>
      <w:r>
        <w:rPr>
          <w:rStyle w:val="apple-converted-space"/>
          <w:rFonts w:cs="Times"/>
          <w:iCs/>
          <w:lang w:val="en-US"/>
        </w:rPr>
        <w:t>following information will have to be provided:</w:t>
      </w:r>
    </w:p>
    <w:p w14:paraId="1F6A7F1A" w14:textId="77777777" w:rsidR="005E5CEC" w:rsidRDefault="005E5CEC" w:rsidP="003F5734">
      <w:pPr>
        <w:spacing w:line="240" w:lineRule="auto"/>
        <w:jc w:val="both"/>
        <w:rPr>
          <w:rStyle w:val="apple-converted-space"/>
          <w:rFonts w:cs="Times"/>
          <w:iCs/>
          <w:lang w:val="en-US"/>
        </w:rPr>
      </w:pPr>
    </w:p>
    <w:p w14:paraId="539ACD87" w14:textId="77777777" w:rsidR="00F85D82" w:rsidRDefault="00F85D82" w:rsidP="003F5734">
      <w:pPr>
        <w:spacing w:line="240" w:lineRule="auto"/>
        <w:jc w:val="both"/>
        <w:rPr>
          <w:rStyle w:val="apple-converted-space"/>
          <w:rFonts w:cs="Times"/>
          <w:iCs/>
          <w:lang w:val="en-US"/>
        </w:rPr>
      </w:pPr>
    </w:p>
    <w:p w14:paraId="74CBA003" w14:textId="77777777" w:rsidR="00F85D82" w:rsidRDefault="00F85D82" w:rsidP="003F5734">
      <w:pPr>
        <w:spacing w:line="240" w:lineRule="auto"/>
        <w:jc w:val="both"/>
        <w:rPr>
          <w:rStyle w:val="apple-converted-space"/>
          <w:rFonts w:cs="Times"/>
          <w:iCs/>
          <w:lang w:val="en-US"/>
        </w:rPr>
      </w:pPr>
    </w:p>
    <w:p w14:paraId="42C6897A" w14:textId="77777777" w:rsidR="006518C2" w:rsidRDefault="005E5CEC" w:rsidP="005065DA">
      <w:pPr>
        <w:pStyle w:val="ListParagraph"/>
        <w:numPr>
          <w:ilvl w:val="0"/>
          <w:numId w:val="27"/>
        </w:numPr>
        <w:spacing w:line="240" w:lineRule="auto"/>
        <w:jc w:val="both"/>
        <w:rPr>
          <w:rStyle w:val="apple-converted-space"/>
          <w:rFonts w:cs="Times"/>
          <w:iCs/>
          <w:lang w:val="en-US"/>
        </w:rPr>
      </w:pPr>
      <w:r>
        <w:rPr>
          <w:rStyle w:val="apple-converted-space"/>
          <w:rFonts w:cs="Times"/>
          <w:iCs/>
          <w:lang w:val="en-US"/>
        </w:rPr>
        <w:lastRenderedPageBreak/>
        <w:t xml:space="preserve">For </w:t>
      </w:r>
      <w:r w:rsidR="006518C2">
        <w:rPr>
          <w:rStyle w:val="apple-converted-space"/>
          <w:rFonts w:cs="Times"/>
          <w:iCs/>
          <w:lang w:val="en-US"/>
        </w:rPr>
        <w:t>legal entit</w:t>
      </w:r>
      <w:r>
        <w:rPr>
          <w:rStyle w:val="apple-converted-space"/>
          <w:rFonts w:cs="Times"/>
          <w:iCs/>
          <w:lang w:val="en-US"/>
        </w:rPr>
        <w:t>ies,</w:t>
      </w:r>
      <w:r w:rsidR="006518C2">
        <w:rPr>
          <w:rStyle w:val="apple-converted-space"/>
          <w:rFonts w:cs="Times"/>
          <w:iCs/>
          <w:lang w:val="en-US"/>
        </w:rPr>
        <w:t xml:space="preserve"> certificate of existence and legal representation issued by the Commercial Chamber with issue date no longer than one month to the application date.</w:t>
      </w:r>
    </w:p>
    <w:p w14:paraId="5594E6DC" w14:textId="77777777" w:rsidR="006518C2" w:rsidRDefault="006518C2" w:rsidP="005065DA">
      <w:pPr>
        <w:pStyle w:val="ListParagraph"/>
        <w:numPr>
          <w:ilvl w:val="0"/>
          <w:numId w:val="27"/>
        </w:numPr>
        <w:spacing w:line="240" w:lineRule="auto"/>
        <w:jc w:val="both"/>
        <w:rPr>
          <w:rStyle w:val="apple-converted-space"/>
          <w:rFonts w:cs="Times"/>
          <w:iCs/>
          <w:lang w:val="en-US"/>
        </w:rPr>
      </w:pPr>
      <w:r>
        <w:rPr>
          <w:rStyle w:val="apple-converted-space"/>
          <w:rFonts w:cs="Times"/>
          <w:iCs/>
          <w:lang w:val="en-US"/>
        </w:rPr>
        <w:t xml:space="preserve">Description of the project in which the new investment is going to be made. </w:t>
      </w:r>
    </w:p>
    <w:p w14:paraId="4C696215" w14:textId="77777777" w:rsidR="006518C2" w:rsidRDefault="006518C2" w:rsidP="005065DA">
      <w:pPr>
        <w:pStyle w:val="ListParagraph"/>
        <w:numPr>
          <w:ilvl w:val="0"/>
          <w:numId w:val="27"/>
        </w:numPr>
        <w:spacing w:line="240" w:lineRule="auto"/>
        <w:jc w:val="both"/>
        <w:rPr>
          <w:rStyle w:val="apple-converted-space"/>
          <w:rFonts w:cs="Times"/>
          <w:iCs/>
          <w:lang w:val="en-US"/>
        </w:rPr>
      </w:pPr>
      <w:r>
        <w:rPr>
          <w:rStyle w:val="apple-converted-space"/>
          <w:rFonts w:cs="Times"/>
          <w:iCs/>
          <w:lang w:val="en-US"/>
        </w:rPr>
        <w:t>Detailed description of the new investment in non-conventional renewable energies which will have to have at least the following:</w:t>
      </w:r>
    </w:p>
    <w:p w14:paraId="01E4A982" w14:textId="77777777" w:rsidR="006518C2" w:rsidRDefault="006518C2" w:rsidP="00463A5E">
      <w:pPr>
        <w:pStyle w:val="ListParagraph"/>
        <w:numPr>
          <w:ilvl w:val="0"/>
          <w:numId w:val="28"/>
        </w:numPr>
        <w:spacing w:line="240" w:lineRule="auto"/>
        <w:jc w:val="both"/>
        <w:rPr>
          <w:rFonts w:cs="Times"/>
          <w:iCs/>
          <w:lang w:val="en-US"/>
        </w:rPr>
      </w:pPr>
      <w:r>
        <w:rPr>
          <w:rFonts w:cs="Times"/>
          <w:iCs/>
          <w:lang w:val="en-US"/>
        </w:rPr>
        <w:t>Detailed description and quantification of the environmental benefits associated to the project subject of the new investment regarding:</w:t>
      </w:r>
    </w:p>
    <w:p w14:paraId="3C478697" w14:textId="77777777" w:rsidR="006518C2" w:rsidRPr="00463A5E" w:rsidRDefault="006518C2" w:rsidP="00463A5E">
      <w:pPr>
        <w:pStyle w:val="ListParagraph"/>
        <w:numPr>
          <w:ilvl w:val="0"/>
          <w:numId w:val="29"/>
        </w:numPr>
        <w:spacing w:line="240" w:lineRule="auto"/>
        <w:jc w:val="both"/>
        <w:rPr>
          <w:rFonts w:cs="Times"/>
          <w:iCs/>
          <w:lang w:val="en-US"/>
        </w:rPr>
      </w:pPr>
      <w:r>
        <w:rPr>
          <w:color w:val="211D1E"/>
          <w:lang w:val="en-US"/>
        </w:rPr>
        <w:t>Brochures, descriptive plans duly signed by the developer of the project and / or documents that include the technical specifications of the elements, equipment and machinery object of the application.</w:t>
      </w:r>
    </w:p>
    <w:p w14:paraId="1F0328B3" w14:textId="77777777" w:rsidR="006518C2" w:rsidRPr="00463A5E" w:rsidRDefault="006518C2" w:rsidP="00463A5E">
      <w:pPr>
        <w:pStyle w:val="ListParagraph"/>
        <w:numPr>
          <w:ilvl w:val="0"/>
          <w:numId w:val="29"/>
        </w:numPr>
        <w:spacing w:line="240" w:lineRule="auto"/>
        <w:jc w:val="both"/>
        <w:rPr>
          <w:rFonts w:cs="Times"/>
          <w:iCs/>
          <w:lang w:val="en-US"/>
        </w:rPr>
      </w:pPr>
      <w:r>
        <w:rPr>
          <w:rFonts w:cs="Times"/>
          <w:iCs/>
          <w:lang w:val="en-US"/>
        </w:rPr>
        <w:t xml:space="preserve">For new investments in projects that are in the stages of investment or operation, provide a copy of the valid environmental authorizations issued by the competent environmental authority, for the development of the project in which the elements, equipment and machinery are going to be used. </w:t>
      </w:r>
      <w:r w:rsidR="00463A5E">
        <w:rPr>
          <w:rFonts w:cs="Times"/>
          <w:iCs/>
          <w:lang w:val="en-US"/>
        </w:rPr>
        <w:t xml:space="preserve">If the project is </w:t>
      </w:r>
      <w:r w:rsidRPr="00463A5E">
        <w:rPr>
          <w:rFonts w:cs="Times"/>
          <w:iCs/>
          <w:lang w:val="en-US"/>
        </w:rPr>
        <w:t>in the pre</w:t>
      </w:r>
      <w:r w:rsidR="00D6656E" w:rsidRPr="00463A5E">
        <w:rPr>
          <w:rFonts w:cs="Times"/>
          <w:iCs/>
          <w:lang w:val="en-US"/>
        </w:rPr>
        <w:t>-</w:t>
      </w:r>
      <w:r w:rsidRPr="00463A5E">
        <w:rPr>
          <w:rFonts w:cs="Times"/>
          <w:iCs/>
          <w:lang w:val="en-US"/>
        </w:rPr>
        <w:t>investment or investment stages (in their phases of technical, financial, economic and environmental definitive studies), it is not necessary to present the environmental authorizations.</w:t>
      </w:r>
    </w:p>
    <w:p w14:paraId="573D1D56" w14:textId="77777777" w:rsidR="005065DA" w:rsidRDefault="005065DA" w:rsidP="003F5734">
      <w:pPr>
        <w:pStyle w:val="ListParagraph"/>
        <w:spacing w:line="240" w:lineRule="auto"/>
        <w:jc w:val="both"/>
        <w:rPr>
          <w:rFonts w:cs="Times"/>
          <w:iCs/>
          <w:lang w:val="en-US"/>
        </w:rPr>
      </w:pPr>
    </w:p>
    <w:p w14:paraId="5E9B62ED" w14:textId="77777777" w:rsidR="006518C2" w:rsidRDefault="005065DA" w:rsidP="005065DA">
      <w:pPr>
        <w:spacing w:after="0" w:line="240" w:lineRule="auto"/>
        <w:ind w:left="360"/>
        <w:jc w:val="both"/>
        <w:textAlignment w:val="top"/>
        <w:rPr>
          <w:rFonts w:asciiTheme="minorHAnsi" w:hAnsiTheme="minorHAnsi" w:cstheme="minorHAnsi"/>
          <w:color w:val="000000"/>
          <w:lang w:val="en-US"/>
        </w:rPr>
      </w:pPr>
      <w:r w:rsidRPr="00EE0698">
        <w:rPr>
          <w:rFonts w:cs="Calibri"/>
          <w:lang w:val="en-US"/>
        </w:rPr>
        <w:t>Act 1715</w:t>
      </w:r>
      <w:r>
        <w:rPr>
          <w:rFonts w:cs="Calibri"/>
          <w:lang w:val="en-US"/>
        </w:rPr>
        <w:t xml:space="preserve"> a</w:t>
      </w:r>
      <w:r w:rsidR="006518C2" w:rsidRPr="005065DA">
        <w:rPr>
          <w:rFonts w:asciiTheme="minorHAnsi" w:hAnsiTheme="minorHAnsi" w:cstheme="minorHAnsi"/>
          <w:color w:val="000000"/>
          <w:lang w:val="en-US"/>
        </w:rPr>
        <w:t>lso</w:t>
      </w:r>
      <w:r>
        <w:rPr>
          <w:rFonts w:asciiTheme="minorHAnsi" w:hAnsiTheme="minorHAnsi" w:cstheme="minorHAnsi"/>
          <w:color w:val="000000"/>
          <w:lang w:val="en-US"/>
        </w:rPr>
        <w:t xml:space="preserve"> establishes the following incentives: </w:t>
      </w:r>
    </w:p>
    <w:p w14:paraId="0A2F1384" w14:textId="77777777" w:rsidR="00463A5E" w:rsidRPr="005065DA" w:rsidRDefault="00463A5E" w:rsidP="005065DA">
      <w:pPr>
        <w:spacing w:after="0" w:line="240" w:lineRule="auto"/>
        <w:ind w:left="360"/>
        <w:jc w:val="both"/>
        <w:textAlignment w:val="top"/>
        <w:rPr>
          <w:rFonts w:asciiTheme="minorHAnsi" w:hAnsiTheme="minorHAnsi" w:cstheme="minorHAnsi"/>
          <w:color w:val="000000"/>
          <w:lang w:val="en-US"/>
        </w:rPr>
      </w:pPr>
    </w:p>
    <w:p w14:paraId="4B0C5444" w14:textId="77777777" w:rsidR="005065DA" w:rsidRPr="005065DA" w:rsidRDefault="005065DA" w:rsidP="005065DA">
      <w:pPr>
        <w:pStyle w:val="ListParagraph"/>
        <w:numPr>
          <w:ilvl w:val="0"/>
          <w:numId w:val="24"/>
        </w:numPr>
        <w:spacing w:after="0" w:line="240" w:lineRule="auto"/>
        <w:jc w:val="both"/>
        <w:rPr>
          <w:rFonts w:cs="Calibri"/>
          <w:lang w:val="en-US" w:eastAsia="es-CO"/>
        </w:rPr>
      </w:pPr>
      <w:r w:rsidRPr="005065DA">
        <w:rPr>
          <w:rFonts w:cs="Calibri"/>
          <w:lang w:val="en-US" w:eastAsia="es-CO"/>
        </w:rPr>
        <w:t>VAT exemption for equipment, machinery and domestic or imported services destined to be used in NCES.</w:t>
      </w:r>
    </w:p>
    <w:p w14:paraId="3309A014" w14:textId="77777777" w:rsidR="005065DA" w:rsidRPr="005065DA" w:rsidRDefault="005065DA" w:rsidP="005065DA">
      <w:pPr>
        <w:pStyle w:val="ListParagraph"/>
        <w:numPr>
          <w:ilvl w:val="0"/>
          <w:numId w:val="24"/>
        </w:numPr>
        <w:spacing w:after="0" w:line="240" w:lineRule="auto"/>
        <w:jc w:val="both"/>
        <w:rPr>
          <w:rFonts w:cs="Calibri"/>
          <w:lang w:val="en-US" w:eastAsia="es-CO"/>
        </w:rPr>
      </w:pPr>
      <w:r w:rsidRPr="005065DA">
        <w:rPr>
          <w:rFonts w:cs="Calibri"/>
          <w:lang w:val="en-US" w:eastAsia="es-CO"/>
        </w:rPr>
        <w:t>Exemption from payment of customs duties on machinery, equipment, materials and imported inputs that are not produced by the domestic industry used for new projects NCES.</w:t>
      </w:r>
    </w:p>
    <w:p w14:paraId="134EDDE9" w14:textId="77777777" w:rsidR="005065DA" w:rsidRPr="005065DA" w:rsidRDefault="005065DA" w:rsidP="005065DA">
      <w:pPr>
        <w:pStyle w:val="ListParagraph"/>
        <w:numPr>
          <w:ilvl w:val="0"/>
          <w:numId w:val="24"/>
        </w:numPr>
        <w:spacing w:after="0" w:line="240" w:lineRule="auto"/>
        <w:jc w:val="both"/>
        <w:rPr>
          <w:rFonts w:cs="Calibri"/>
          <w:lang w:val="en-US" w:eastAsia="es-CO"/>
        </w:rPr>
      </w:pPr>
      <w:r w:rsidRPr="005065DA">
        <w:rPr>
          <w:rFonts w:cs="Calibri"/>
          <w:lang w:val="en-US" w:eastAsia="es-CO"/>
        </w:rPr>
        <w:t>The pre-investment, investment and operation of the generation of NCES will enjoy of accelerated depreciation scheme, which will apply on machinery, equipment and civil works, up to 20% as an overall annual rate.</w:t>
      </w:r>
    </w:p>
    <w:p w14:paraId="53A3E16D" w14:textId="77777777" w:rsidR="005065DA" w:rsidRDefault="005065DA" w:rsidP="005065DA">
      <w:pPr>
        <w:spacing w:after="0" w:line="240" w:lineRule="auto"/>
        <w:jc w:val="both"/>
        <w:textAlignment w:val="top"/>
        <w:rPr>
          <w:rFonts w:asciiTheme="minorHAnsi" w:hAnsiTheme="minorHAnsi" w:cstheme="minorHAnsi"/>
          <w:color w:val="000000"/>
          <w:lang w:val="en-US"/>
        </w:rPr>
      </w:pPr>
    </w:p>
    <w:p w14:paraId="510BEBC3" w14:textId="77777777" w:rsidR="006518C2" w:rsidRDefault="006518C2" w:rsidP="003F5734">
      <w:pPr>
        <w:spacing w:after="0" w:line="240" w:lineRule="auto"/>
        <w:jc w:val="both"/>
        <w:textAlignment w:val="top"/>
        <w:rPr>
          <w:rFonts w:asciiTheme="minorHAnsi" w:hAnsiTheme="minorHAnsi" w:cstheme="minorHAnsi"/>
          <w:b/>
          <w:color w:val="000000"/>
          <w:lang w:val="en-US"/>
        </w:rPr>
      </w:pPr>
    </w:p>
    <w:p w14:paraId="51607786" w14:textId="77777777" w:rsidR="006518C2" w:rsidRDefault="006518C2" w:rsidP="003F5734">
      <w:pPr>
        <w:spacing w:line="240" w:lineRule="auto"/>
        <w:jc w:val="both"/>
        <w:rPr>
          <w:lang w:val="en-US"/>
        </w:rPr>
      </w:pPr>
    </w:p>
    <w:p w14:paraId="7CD627CB" w14:textId="77777777" w:rsidR="00463A5E" w:rsidRDefault="00463A5E" w:rsidP="003F5734">
      <w:pPr>
        <w:spacing w:line="240" w:lineRule="auto"/>
        <w:jc w:val="both"/>
        <w:rPr>
          <w:lang w:val="en-US"/>
        </w:rPr>
      </w:pPr>
    </w:p>
    <w:p w14:paraId="3EC187F7" w14:textId="77777777" w:rsidR="00463A5E" w:rsidRDefault="00463A5E" w:rsidP="003F5734">
      <w:pPr>
        <w:spacing w:line="240" w:lineRule="auto"/>
        <w:jc w:val="both"/>
        <w:rPr>
          <w:lang w:val="en-US"/>
        </w:rPr>
      </w:pPr>
    </w:p>
    <w:p w14:paraId="2189D3E4" w14:textId="77777777" w:rsidR="00463A5E" w:rsidRDefault="00463A5E" w:rsidP="003F5734">
      <w:pPr>
        <w:spacing w:line="240" w:lineRule="auto"/>
        <w:jc w:val="both"/>
        <w:rPr>
          <w:lang w:val="en-US"/>
        </w:rPr>
      </w:pPr>
    </w:p>
    <w:p w14:paraId="3F929E68" w14:textId="77777777" w:rsidR="00463A5E" w:rsidRDefault="00463A5E" w:rsidP="003F5734">
      <w:pPr>
        <w:spacing w:line="240" w:lineRule="auto"/>
        <w:jc w:val="both"/>
        <w:rPr>
          <w:lang w:val="en-US"/>
        </w:rPr>
      </w:pPr>
    </w:p>
    <w:p w14:paraId="76D3C7AE" w14:textId="77777777" w:rsidR="00463A5E" w:rsidRDefault="00463A5E" w:rsidP="003F5734">
      <w:pPr>
        <w:spacing w:line="240" w:lineRule="auto"/>
        <w:jc w:val="both"/>
        <w:rPr>
          <w:lang w:val="en-US"/>
        </w:rPr>
      </w:pPr>
    </w:p>
    <w:p w14:paraId="35A05E7D" w14:textId="77777777" w:rsidR="00463A5E" w:rsidRDefault="00463A5E" w:rsidP="003F5734">
      <w:pPr>
        <w:spacing w:line="240" w:lineRule="auto"/>
        <w:jc w:val="both"/>
        <w:rPr>
          <w:lang w:val="en-US"/>
        </w:rPr>
      </w:pPr>
    </w:p>
    <w:p w14:paraId="6455BA0C" w14:textId="77777777" w:rsidR="00967E4F" w:rsidRDefault="00967E4F" w:rsidP="003F5734">
      <w:pPr>
        <w:spacing w:line="240" w:lineRule="auto"/>
        <w:jc w:val="both"/>
        <w:rPr>
          <w:lang w:val="en-US"/>
        </w:rPr>
      </w:pPr>
    </w:p>
    <w:p w14:paraId="47CF59FE" w14:textId="77777777" w:rsidR="00967E4F" w:rsidRPr="001209B1" w:rsidRDefault="00967E4F" w:rsidP="00967E4F">
      <w:pPr>
        <w:pStyle w:val="Heading2"/>
        <w:rPr>
          <w:rFonts w:asciiTheme="minorHAnsi" w:hAnsiTheme="minorHAnsi" w:cstheme="minorHAnsi"/>
          <w:sz w:val="28"/>
          <w:lang w:val="en-US"/>
        </w:rPr>
      </w:pPr>
      <w:r w:rsidRPr="001209B1">
        <w:rPr>
          <w:rFonts w:asciiTheme="minorHAnsi" w:hAnsiTheme="minorHAnsi" w:cstheme="minorHAnsi"/>
          <w:sz w:val="28"/>
          <w:lang w:val="en-US"/>
        </w:rPr>
        <w:lastRenderedPageBreak/>
        <w:t>Income Tax Exempt</w:t>
      </w:r>
      <w:r>
        <w:rPr>
          <w:rFonts w:asciiTheme="minorHAnsi" w:hAnsiTheme="minorHAnsi" w:cstheme="minorHAnsi"/>
          <w:sz w:val="28"/>
          <w:lang w:val="en-US"/>
        </w:rPr>
        <w:t>ion</w:t>
      </w:r>
      <w:r w:rsidRPr="001209B1">
        <w:rPr>
          <w:rFonts w:asciiTheme="minorHAnsi" w:hAnsiTheme="minorHAnsi" w:cstheme="minorHAnsi"/>
          <w:sz w:val="28"/>
          <w:lang w:val="en-US"/>
        </w:rPr>
        <w:t xml:space="preserve"> (Law 1943 Of 2018 Financing Law) </w:t>
      </w:r>
    </w:p>
    <w:p w14:paraId="78BC33DF" w14:textId="77777777" w:rsidR="00967E4F" w:rsidRPr="00250058" w:rsidRDefault="00967E4F" w:rsidP="00967E4F">
      <w:pPr>
        <w:jc w:val="both"/>
        <w:rPr>
          <w:lang w:val="en-US" w:eastAsia="es-ES"/>
        </w:rPr>
      </w:pPr>
      <w:r w:rsidRPr="00250058">
        <w:rPr>
          <w:lang w:val="en-US" w:eastAsia="es-ES"/>
        </w:rPr>
        <w:t xml:space="preserve">Sale of electric power generated </w:t>
      </w:r>
      <w:r>
        <w:rPr>
          <w:lang w:val="en-US" w:eastAsia="es-ES"/>
        </w:rPr>
        <w:t>by</w:t>
      </w:r>
      <w:r w:rsidRPr="00250058">
        <w:rPr>
          <w:lang w:val="en-US" w:eastAsia="es-ES"/>
        </w:rPr>
        <w:t xml:space="preserve"> wind, biomass, solar, geothermal or marine waste, according to the definitions of Law 1715 of 2014 and Decree 2755 of 2003, made only by generators,</w:t>
      </w:r>
      <w:r>
        <w:rPr>
          <w:lang w:val="en-US" w:eastAsia="es-ES"/>
        </w:rPr>
        <w:t xml:space="preserve"> is exempted of the income tax</w:t>
      </w:r>
      <w:r w:rsidRPr="00250058">
        <w:rPr>
          <w:lang w:val="en-US" w:eastAsia="es-ES"/>
        </w:rPr>
        <w:t xml:space="preserve"> for a term of fifteen (15) years</w:t>
      </w:r>
      <w:r>
        <w:rPr>
          <w:lang w:val="en-US" w:eastAsia="es-ES"/>
        </w:rPr>
        <w:t xml:space="preserve"> starting </w:t>
      </w:r>
      <w:r w:rsidRPr="00250058">
        <w:rPr>
          <w:lang w:val="en-US" w:eastAsia="es-ES"/>
        </w:rPr>
        <w:t>2017</w:t>
      </w:r>
      <w:r>
        <w:rPr>
          <w:lang w:val="en-US" w:eastAsia="es-ES"/>
        </w:rPr>
        <w:t>. It must comply with the following requirements</w:t>
      </w:r>
      <w:r w:rsidRPr="00250058">
        <w:rPr>
          <w:lang w:val="en-US" w:eastAsia="es-ES"/>
        </w:rPr>
        <w:t>:</w:t>
      </w:r>
    </w:p>
    <w:p w14:paraId="671EE09B" w14:textId="77777777" w:rsidR="00967E4F" w:rsidRPr="00250058" w:rsidRDefault="00967E4F" w:rsidP="00967E4F">
      <w:pPr>
        <w:ind w:left="708"/>
        <w:jc w:val="both"/>
        <w:rPr>
          <w:lang w:val="en-US" w:eastAsia="es-ES"/>
        </w:rPr>
      </w:pPr>
      <w:r w:rsidRPr="00250058">
        <w:rPr>
          <w:lang w:val="en-US" w:eastAsia="es-ES"/>
        </w:rPr>
        <w:t xml:space="preserve">a) </w:t>
      </w:r>
      <w:r>
        <w:rPr>
          <w:lang w:val="en-US" w:eastAsia="es-ES"/>
        </w:rPr>
        <w:t>To p</w:t>
      </w:r>
      <w:r w:rsidRPr="00250058">
        <w:rPr>
          <w:lang w:val="en-US" w:eastAsia="es-ES"/>
        </w:rPr>
        <w:t xml:space="preserve">rocess, obtain and sell carbon dioxide </w:t>
      </w:r>
      <w:r>
        <w:rPr>
          <w:lang w:val="en-US" w:eastAsia="es-ES"/>
        </w:rPr>
        <w:t xml:space="preserve">emissions certificates </w:t>
      </w:r>
      <w:r w:rsidRPr="00250058">
        <w:rPr>
          <w:lang w:val="en-US" w:eastAsia="es-ES"/>
        </w:rPr>
        <w:t>in accordance with the regulations of the national Government;</w:t>
      </w:r>
    </w:p>
    <w:p w14:paraId="269B780C" w14:textId="77777777" w:rsidR="00967E4F" w:rsidRPr="00250058" w:rsidRDefault="00967E4F" w:rsidP="00967E4F">
      <w:pPr>
        <w:ind w:left="708"/>
        <w:jc w:val="both"/>
        <w:rPr>
          <w:lang w:val="en-US" w:eastAsia="es-ES"/>
        </w:rPr>
      </w:pPr>
      <w:r w:rsidRPr="00250058">
        <w:rPr>
          <w:lang w:val="en-US" w:eastAsia="es-ES"/>
        </w:rPr>
        <w:t xml:space="preserve">b) </w:t>
      </w:r>
      <w:r>
        <w:rPr>
          <w:lang w:val="en-US" w:eastAsia="es-ES"/>
        </w:rPr>
        <w:t xml:space="preserve">At </w:t>
      </w:r>
      <w:r w:rsidRPr="00250058">
        <w:rPr>
          <w:lang w:val="en-US" w:eastAsia="es-ES"/>
        </w:rPr>
        <w:t xml:space="preserve">least 50% of the resources obtained from the sale of said certificates </w:t>
      </w:r>
      <w:r>
        <w:rPr>
          <w:lang w:val="en-US" w:eastAsia="es-ES"/>
        </w:rPr>
        <w:t xml:space="preserve">must </w:t>
      </w:r>
      <w:r w:rsidRPr="00250058">
        <w:rPr>
          <w:lang w:val="en-US" w:eastAsia="es-ES"/>
        </w:rPr>
        <w:t xml:space="preserve">be invested in works of </w:t>
      </w:r>
      <w:r w:rsidRPr="002D650D">
        <w:rPr>
          <w:b/>
          <w:lang w:val="en-US" w:eastAsia="es-ES"/>
        </w:rPr>
        <w:t>social benefit</w:t>
      </w:r>
      <w:r w:rsidRPr="00250058">
        <w:rPr>
          <w:lang w:val="en-US" w:eastAsia="es-ES"/>
        </w:rPr>
        <w:t xml:space="preserve"> in the region where the generator operates. The investment that entitles the benefit will be made according to the proportion of each municipality affected by the construction and operation of the generating plant.</w:t>
      </w:r>
    </w:p>
    <w:p w14:paraId="355920C1" w14:textId="77777777" w:rsidR="00967E4F" w:rsidRPr="001209B1" w:rsidRDefault="00967E4F" w:rsidP="00967E4F">
      <w:pPr>
        <w:pStyle w:val="Heading2"/>
        <w:rPr>
          <w:rFonts w:asciiTheme="minorHAnsi" w:hAnsiTheme="minorHAnsi" w:cstheme="minorHAnsi"/>
          <w:sz w:val="28"/>
          <w:lang w:val="en-US"/>
        </w:rPr>
      </w:pPr>
      <w:r w:rsidRPr="001209B1">
        <w:rPr>
          <w:rFonts w:asciiTheme="minorHAnsi" w:hAnsiTheme="minorHAnsi" w:cstheme="minorHAnsi"/>
          <w:sz w:val="28"/>
          <w:lang w:val="en-US"/>
        </w:rPr>
        <w:t xml:space="preserve">Mega Investments </w:t>
      </w:r>
    </w:p>
    <w:p w14:paraId="374A4F06" w14:textId="77777777" w:rsidR="00967E4F" w:rsidRPr="003F5734" w:rsidRDefault="00967E4F" w:rsidP="00967E4F">
      <w:pPr>
        <w:rPr>
          <w:lang w:val="en-US" w:eastAsia="es-ES"/>
        </w:rPr>
      </w:pPr>
      <w:r w:rsidRPr="003F5734">
        <w:rPr>
          <w:lang w:val="en-US" w:eastAsia="es-ES"/>
        </w:rPr>
        <w:t>New investment within the national territory of 30.000 UVT (COP$ 1.028.100.000 approx. USD$ 342.700</w:t>
      </w:r>
      <w:r>
        <w:rPr>
          <w:lang w:val="en-US" w:eastAsia="es-ES"/>
        </w:rPr>
        <w:t>.000</w:t>
      </w:r>
      <w:r w:rsidRPr="003F5734">
        <w:rPr>
          <w:lang w:val="en-US" w:eastAsia="es-ES"/>
        </w:rPr>
        <w:t xml:space="preserve">). generate at least 250 direct </w:t>
      </w:r>
      <w:r>
        <w:rPr>
          <w:lang w:val="en-US" w:eastAsia="es-ES"/>
        </w:rPr>
        <w:t>j</w:t>
      </w:r>
      <w:r w:rsidRPr="003F5734">
        <w:rPr>
          <w:lang w:val="en-US" w:eastAsia="es-ES"/>
        </w:rPr>
        <w:t>obs.</w:t>
      </w:r>
    </w:p>
    <w:p w14:paraId="38C67AE3" w14:textId="77777777" w:rsidR="00967E4F" w:rsidRPr="003F5734" w:rsidRDefault="00967E4F" w:rsidP="00967E4F">
      <w:pPr>
        <w:rPr>
          <w:b/>
          <w:lang w:val="en-US" w:eastAsia="es-ES"/>
        </w:rPr>
      </w:pPr>
      <w:r w:rsidRPr="003F5734">
        <w:rPr>
          <w:b/>
          <w:lang w:val="en-US" w:eastAsia="es-ES"/>
        </w:rPr>
        <w:t xml:space="preserve">Benefits: </w:t>
      </w:r>
    </w:p>
    <w:p w14:paraId="31652AE9" w14:textId="77777777" w:rsidR="00967E4F" w:rsidRPr="003F5734" w:rsidRDefault="00967E4F" w:rsidP="00967E4F">
      <w:pPr>
        <w:pStyle w:val="ListParagraph"/>
        <w:numPr>
          <w:ilvl w:val="0"/>
          <w:numId w:val="18"/>
        </w:numPr>
        <w:rPr>
          <w:lang w:val="en-US" w:eastAsia="es-ES"/>
        </w:rPr>
      </w:pPr>
      <w:r w:rsidRPr="003F5734">
        <w:rPr>
          <w:lang w:val="en-US" w:eastAsia="es-ES"/>
        </w:rPr>
        <w:t>Corporarate income tax rate of 27</w:t>
      </w:r>
      <w:r>
        <w:rPr>
          <w:lang w:val="en-US" w:eastAsia="es-ES"/>
        </w:rPr>
        <w:t>%</w:t>
      </w:r>
    </w:p>
    <w:p w14:paraId="112BFB53" w14:textId="77777777" w:rsidR="00967E4F" w:rsidRPr="003F5734" w:rsidRDefault="00967E4F" w:rsidP="00967E4F">
      <w:pPr>
        <w:pStyle w:val="ListParagraph"/>
        <w:numPr>
          <w:ilvl w:val="0"/>
          <w:numId w:val="18"/>
        </w:numPr>
        <w:rPr>
          <w:lang w:val="en-US" w:eastAsia="es-ES"/>
        </w:rPr>
      </w:pPr>
      <w:r w:rsidRPr="003F5734">
        <w:rPr>
          <w:lang w:val="en-US" w:eastAsia="es-ES"/>
        </w:rPr>
        <w:t>Fixed assets may be depreciated in a minimum term of 2 years, regardless of the useful life of the asset.</w:t>
      </w:r>
    </w:p>
    <w:p w14:paraId="5F5547FD" w14:textId="77777777" w:rsidR="00967E4F" w:rsidRPr="003F5734" w:rsidRDefault="00967E4F" w:rsidP="00967E4F">
      <w:pPr>
        <w:pStyle w:val="ListParagraph"/>
        <w:numPr>
          <w:ilvl w:val="0"/>
          <w:numId w:val="18"/>
        </w:numPr>
        <w:rPr>
          <w:lang w:val="en-US" w:eastAsia="es-ES"/>
        </w:rPr>
      </w:pPr>
      <w:r w:rsidRPr="003F5734">
        <w:rPr>
          <w:lang w:val="en-US" w:eastAsia="es-ES"/>
        </w:rPr>
        <w:t>Mega Investments won’t be subject to presumptive income.</w:t>
      </w:r>
    </w:p>
    <w:p w14:paraId="65B78E86" w14:textId="77777777" w:rsidR="00967E4F" w:rsidRPr="003F5734" w:rsidRDefault="00967E4F" w:rsidP="00967E4F">
      <w:pPr>
        <w:pStyle w:val="ListParagraph"/>
        <w:numPr>
          <w:ilvl w:val="0"/>
          <w:numId w:val="18"/>
        </w:numPr>
        <w:rPr>
          <w:lang w:val="en-US" w:eastAsia="es-ES"/>
        </w:rPr>
      </w:pPr>
      <w:r w:rsidRPr="003F5734">
        <w:rPr>
          <w:lang w:val="en-US" w:eastAsia="es-ES"/>
        </w:rPr>
        <w:t>Mega Investments won’t be subject to the wealth tax</w:t>
      </w:r>
    </w:p>
    <w:p w14:paraId="4DE38DCF" w14:textId="77777777" w:rsidR="00967E4F" w:rsidRPr="003F5734" w:rsidRDefault="00967E4F" w:rsidP="00967E4F">
      <w:pPr>
        <w:pStyle w:val="ListParagraph"/>
        <w:numPr>
          <w:ilvl w:val="0"/>
          <w:numId w:val="18"/>
        </w:numPr>
        <w:rPr>
          <w:lang w:val="en-US" w:eastAsia="es-ES"/>
        </w:rPr>
      </w:pPr>
      <w:r w:rsidRPr="003F5734">
        <w:rPr>
          <w:lang w:val="en-US" w:eastAsia="es-ES"/>
        </w:rPr>
        <w:t>A new regime of legal fiscal stability is created to keep the benefits in case of adverse legal modifications in Exchange for a premium of 0,75% of the investment value made every year for 5 years.</w:t>
      </w:r>
    </w:p>
    <w:p w14:paraId="2DC423F4" w14:textId="77777777" w:rsidR="00967E4F" w:rsidRDefault="00967E4F" w:rsidP="00967E4F">
      <w:pPr>
        <w:rPr>
          <w:lang w:val="en-US" w:eastAsia="es-ES"/>
        </w:rPr>
      </w:pPr>
      <w:r w:rsidRPr="003F5734">
        <w:rPr>
          <w:lang w:val="en-US" w:eastAsia="es-ES"/>
        </w:rPr>
        <w:t>Exclusions: Investments in hydrocarbons and mines are excluded of this regime</w:t>
      </w:r>
      <w:r>
        <w:rPr>
          <w:lang w:val="en-US" w:eastAsia="es-ES"/>
        </w:rPr>
        <w:t xml:space="preserve">. </w:t>
      </w:r>
    </w:p>
    <w:p w14:paraId="58A414BE" w14:textId="77777777" w:rsidR="00463A5E" w:rsidRDefault="00463A5E" w:rsidP="003F5734">
      <w:pPr>
        <w:spacing w:line="240" w:lineRule="auto"/>
        <w:jc w:val="both"/>
        <w:rPr>
          <w:lang w:val="en-US"/>
        </w:rPr>
      </w:pPr>
    </w:p>
    <w:p w14:paraId="29BC9358" w14:textId="77777777" w:rsidR="003F5734" w:rsidRPr="00BD4B1F" w:rsidRDefault="00463A5E" w:rsidP="00463A5E">
      <w:pPr>
        <w:pStyle w:val="Heading2"/>
        <w:rPr>
          <w:rFonts w:asciiTheme="minorHAnsi" w:hAnsiTheme="minorHAnsi" w:cstheme="minorHAnsi"/>
          <w:sz w:val="28"/>
          <w:lang w:val="en-US"/>
        </w:rPr>
      </w:pPr>
      <w:r w:rsidRPr="00BD4B1F">
        <w:rPr>
          <w:rFonts w:asciiTheme="minorHAnsi" w:hAnsiTheme="minorHAnsi" w:cstheme="minorHAnsi"/>
          <w:sz w:val="28"/>
          <w:lang w:val="en-US"/>
        </w:rPr>
        <w:t xml:space="preserve">Free Trade Zone Regime </w:t>
      </w:r>
    </w:p>
    <w:p w14:paraId="426D5409" w14:textId="77777777" w:rsidR="00463A5E" w:rsidRPr="00463A5E" w:rsidRDefault="003F5734" w:rsidP="00463A5E">
      <w:pPr>
        <w:autoSpaceDE w:val="0"/>
        <w:autoSpaceDN w:val="0"/>
        <w:adjustRightInd w:val="0"/>
        <w:ind w:left="360"/>
        <w:jc w:val="both"/>
        <w:outlineLvl w:val="3"/>
        <w:rPr>
          <w:rFonts w:asciiTheme="minorHAnsi" w:eastAsia="Times New Roman" w:hAnsiTheme="minorHAnsi" w:cs="Calibri"/>
          <w:b/>
          <w:lang w:val="en-US" w:eastAsia="es-ES"/>
        </w:rPr>
      </w:pPr>
      <w:r w:rsidRPr="00463A5E">
        <w:rPr>
          <w:rFonts w:asciiTheme="minorHAnsi" w:hAnsiTheme="minorHAnsi" w:cs="Calibri"/>
          <w:b/>
          <w:lang w:val="en-US"/>
        </w:rPr>
        <w:t xml:space="preserve">Main </w:t>
      </w:r>
      <w:r w:rsidRPr="00463A5E">
        <w:rPr>
          <w:rFonts w:asciiTheme="minorHAnsi" w:hAnsiTheme="minorHAnsi" w:cstheme="majorHAnsi"/>
          <w:b/>
          <w:bCs/>
          <w:lang w:val="en-US"/>
        </w:rPr>
        <w:t xml:space="preserve">Characteristics </w:t>
      </w:r>
    </w:p>
    <w:p w14:paraId="773DB887" w14:textId="77777777" w:rsidR="003F5734" w:rsidRDefault="003F5734" w:rsidP="003F5734">
      <w:pPr>
        <w:autoSpaceDE w:val="0"/>
        <w:autoSpaceDN w:val="0"/>
        <w:adjustRightInd w:val="0"/>
        <w:jc w:val="both"/>
        <w:rPr>
          <w:rFonts w:asciiTheme="minorHAnsi" w:hAnsiTheme="minorHAnsi" w:cs="Arial"/>
          <w:lang w:val="en-US"/>
        </w:rPr>
      </w:pPr>
      <w:r>
        <w:rPr>
          <w:rFonts w:asciiTheme="minorHAnsi" w:hAnsiTheme="minorHAnsi" w:cs="Arial"/>
          <w:lang w:val="en-US"/>
        </w:rPr>
        <w:lastRenderedPageBreak/>
        <w:t>Free Trade Zones are specific geographic areas in which companies may undertake industrial or commercial activities, taking advantage of a special tax and customs regime that provides them certain tax and customs benefits</w:t>
      </w:r>
      <w:r>
        <w:rPr>
          <w:rFonts w:asciiTheme="minorHAnsi" w:hAnsiTheme="minorHAnsi" w:cs="Arial"/>
          <w:vertAlign w:val="superscript"/>
          <w:lang w:val="en-US"/>
        </w:rPr>
        <w:footnoteReference w:id="1"/>
      </w:r>
      <w:r>
        <w:rPr>
          <w:rFonts w:asciiTheme="minorHAnsi" w:hAnsiTheme="minorHAnsi" w:cs="Arial"/>
          <w:lang w:val="en-US"/>
        </w:rPr>
        <w:t>.</w:t>
      </w:r>
    </w:p>
    <w:p w14:paraId="15DD1C64" w14:textId="77777777" w:rsidR="003F5734" w:rsidRDefault="003F5734" w:rsidP="003F5734">
      <w:pPr>
        <w:autoSpaceDE w:val="0"/>
        <w:autoSpaceDN w:val="0"/>
        <w:adjustRightInd w:val="0"/>
        <w:jc w:val="both"/>
        <w:rPr>
          <w:rFonts w:asciiTheme="minorHAnsi" w:hAnsiTheme="minorHAnsi" w:cs="Arial"/>
          <w:lang w:val="en-US"/>
        </w:rPr>
      </w:pPr>
      <w:r>
        <w:rPr>
          <w:rFonts w:asciiTheme="minorHAnsi" w:hAnsiTheme="minorHAnsi" w:cs="Arial"/>
          <w:lang w:val="en-US"/>
        </w:rPr>
        <w:t xml:space="preserve">Within a Free Trade Zone any legal activity of a commercial, industrial or services-rendering nature may be performed, except those expressly restricted, which include: </w:t>
      </w:r>
    </w:p>
    <w:p w14:paraId="5E96D9DB" w14:textId="77777777" w:rsidR="003F5734" w:rsidRDefault="003F5734" w:rsidP="00CE78AC">
      <w:pPr>
        <w:numPr>
          <w:ilvl w:val="0"/>
          <w:numId w:val="11"/>
        </w:numPr>
        <w:autoSpaceDE w:val="0"/>
        <w:autoSpaceDN w:val="0"/>
        <w:adjustRightInd w:val="0"/>
        <w:ind w:left="993" w:hanging="283"/>
        <w:jc w:val="both"/>
        <w:rPr>
          <w:rFonts w:asciiTheme="minorHAnsi" w:hAnsiTheme="minorHAnsi" w:cs="Arial"/>
          <w:lang w:val="en-US"/>
        </w:rPr>
      </w:pPr>
      <w:r>
        <w:rPr>
          <w:rFonts w:asciiTheme="minorHAnsi" w:hAnsiTheme="minorHAnsi" w:cs="Arial"/>
          <w:lang w:val="en-US"/>
        </w:rPr>
        <w:t xml:space="preserve">No Free Trade Zones may be declared in geographical areas suitable for the exploration, exploitation or extraction of non-renewable natural resources as provided pursuant to the Colombian Mines and Oil Code. </w:t>
      </w:r>
    </w:p>
    <w:p w14:paraId="5C3082DE" w14:textId="77777777" w:rsidR="003F5734" w:rsidRDefault="003F5734" w:rsidP="00CE78AC">
      <w:pPr>
        <w:numPr>
          <w:ilvl w:val="0"/>
          <w:numId w:val="11"/>
        </w:numPr>
        <w:autoSpaceDE w:val="0"/>
        <w:autoSpaceDN w:val="0"/>
        <w:adjustRightInd w:val="0"/>
        <w:ind w:left="993" w:hanging="283"/>
        <w:jc w:val="both"/>
        <w:rPr>
          <w:rFonts w:asciiTheme="minorHAnsi" w:hAnsiTheme="minorHAnsi" w:cs="Arial"/>
          <w:lang w:val="en-US"/>
        </w:rPr>
      </w:pPr>
      <w:r>
        <w:rPr>
          <w:rFonts w:asciiTheme="minorHAnsi" w:hAnsiTheme="minorHAnsi" w:cs="Arial"/>
          <w:lang w:val="en-US"/>
        </w:rPr>
        <w:t>Providing financial services.</w:t>
      </w:r>
    </w:p>
    <w:p w14:paraId="4C197675" w14:textId="77777777" w:rsidR="003F5734" w:rsidRDefault="003F5734" w:rsidP="00CE78AC">
      <w:pPr>
        <w:numPr>
          <w:ilvl w:val="0"/>
          <w:numId w:val="11"/>
        </w:numPr>
        <w:autoSpaceDE w:val="0"/>
        <w:autoSpaceDN w:val="0"/>
        <w:adjustRightInd w:val="0"/>
        <w:ind w:left="993" w:hanging="283"/>
        <w:jc w:val="both"/>
        <w:rPr>
          <w:rFonts w:asciiTheme="minorHAnsi" w:hAnsiTheme="minorHAnsi" w:cs="Arial"/>
          <w:lang w:val="en-US"/>
        </w:rPr>
      </w:pPr>
      <w:r>
        <w:rPr>
          <w:rFonts w:asciiTheme="minorHAnsi" w:hAnsiTheme="minorHAnsi" w:cs="Arial"/>
          <w:lang w:val="en-US"/>
        </w:rPr>
        <w:t>Providing public domiciliary utilities, except from companies that generate electricity or new companies that provide international long</w:t>
      </w:r>
      <w:r w:rsidR="006E1471">
        <w:rPr>
          <w:rFonts w:asciiTheme="minorHAnsi" w:hAnsiTheme="minorHAnsi" w:cs="Arial"/>
          <w:lang w:val="en-US"/>
        </w:rPr>
        <w:t>-</w:t>
      </w:r>
      <w:r>
        <w:rPr>
          <w:rFonts w:asciiTheme="minorHAnsi" w:hAnsiTheme="minorHAnsi" w:cs="Arial"/>
          <w:lang w:val="en-US"/>
        </w:rPr>
        <w:t xml:space="preserve">distance public phone service. </w:t>
      </w:r>
    </w:p>
    <w:p w14:paraId="07E2515B" w14:textId="77777777" w:rsidR="003F5734" w:rsidRDefault="003F5734" w:rsidP="00CE78AC">
      <w:pPr>
        <w:numPr>
          <w:ilvl w:val="0"/>
          <w:numId w:val="11"/>
        </w:numPr>
        <w:autoSpaceDE w:val="0"/>
        <w:autoSpaceDN w:val="0"/>
        <w:adjustRightInd w:val="0"/>
        <w:spacing w:after="0" w:line="240" w:lineRule="auto"/>
        <w:ind w:left="993" w:hanging="283"/>
        <w:jc w:val="both"/>
        <w:rPr>
          <w:rFonts w:asciiTheme="minorHAnsi" w:hAnsiTheme="minorHAnsi" w:cs="Arial"/>
          <w:lang w:val="en-US"/>
        </w:rPr>
      </w:pPr>
      <w:r>
        <w:rPr>
          <w:rFonts w:asciiTheme="minorHAnsi" w:hAnsiTheme="minorHAnsi" w:cs="Arial"/>
          <w:lang w:val="en-US"/>
        </w:rPr>
        <w:t>Activities under the framework of any concession agreement with the Colombian State.</w:t>
      </w:r>
    </w:p>
    <w:p w14:paraId="1057C449" w14:textId="77777777" w:rsidR="003F5734" w:rsidRDefault="003F5734" w:rsidP="003F5734">
      <w:pPr>
        <w:autoSpaceDE w:val="0"/>
        <w:autoSpaceDN w:val="0"/>
        <w:adjustRightInd w:val="0"/>
        <w:spacing w:after="0" w:line="240" w:lineRule="auto"/>
        <w:ind w:left="993"/>
        <w:jc w:val="both"/>
        <w:rPr>
          <w:rFonts w:asciiTheme="minorHAnsi" w:hAnsiTheme="minorHAnsi" w:cs="Arial"/>
          <w:lang w:val="en-US"/>
        </w:rPr>
      </w:pPr>
    </w:p>
    <w:p w14:paraId="1211EF27" w14:textId="77777777" w:rsidR="003F5734" w:rsidRPr="006E1471" w:rsidRDefault="003F5734" w:rsidP="006E1471">
      <w:pPr>
        <w:autoSpaceDE w:val="0"/>
        <w:autoSpaceDN w:val="0"/>
        <w:adjustRightInd w:val="0"/>
        <w:spacing w:after="0" w:line="240" w:lineRule="auto"/>
        <w:ind w:left="360"/>
        <w:jc w:val="both"/>
        <w:outlineLvl w:val="3"/>
        <w:rPr>
          <w:rFonts w:asciiTheme="minorHAnsi" w:hAnsiTheme="minorHAnsi" w:cs="Arial"/>
          <w:b/>
          <w:lang w:val="en-US" w:eastAsia="es-CO"/>
        </w:rPr>
      </w:pPr>
      <w:r w:rsidRPr="006E1471">
        <w:rPr>
          <w:rFonts w:asciiTheme="minorHAnsi" w:hAnsiTheme="minorHAnsi" w:cs="Arial"/>
          <w:b/>
          <w:lang w:val="en-US" w:eastAsia="es-CO"/>
        </w:rPr>
        <w:t>Tax benefits:</w:t>
      </w:r>
    </w:p>
    <w:p w14:paraId="55105B59" w14:textId="77777777" w:rsidR="003F5734" w:rsidRDefault="003F5734" w:rsidP="003479F6">
      <w:pPr>
        <w:autoSpaceDE w:val="0"/>
        <w:autoSpaceDN w:val="0"/>
        <w:adjustRightInd w:val="0"/>
        <w:spacing w:after="0" w:line="240" w:lineRule="auto"/>
        <w:ind w:left="993"/>
        <w:jc w:val="both"/>
        <w:rPr>
          <w:rFonts w:asciiTheme="minorHAnsi" w:hAnsiTheme="minorHAnsi" w:cs="Arial"/>
          <w:lang w:val="en-US"/>
        </w:rPr>
      </w:pPr>
    </w:p>
    <w:p w14:paraId="6F8D374D" w14:textId="77777777" w:rsidR="003F5734" w:rsidRPr="003479F6" w:rsidRDefault="003F5734" w:rsidP="003479F6">
      <w:pPr>
        <w:numPr>
          <w:ilvl w:val="0"/>
          <w:numId w:val="11"/>
        </w:numPr>
        <w:autoSpaceDE w:val="0"/>
        <w:autoSpaceDN w:val="0"/>
        <w:adjustRightInd w:val="0"/>
        <w:spacing w:after="0" w:line="240" w:lineRule="auto"/>
        <w:ind w:left="993" w:hanging="283"/>
        <w:jc w:val="both"/>
        <w:rPr>
          <w:rFonts w:asciiTheme="minorHAnsi" w:hAnsiTheme="minorHAnsi" w:cs="Arial"/>
          <w:lang w:val="en-US"/>
        </w:rPr>
      </w:pPr>
      <w:r>
        <w:rPr>
          <w:rFonts w:asciiTheme="minorHAnsi" w:hAnsiTheme="minorHAnsi" w:cs="Arial"/>
          <w:lang w:val="en-US"/>
        </w:rPr>
        <w:t>20% income tax rate for all users of the Free Trade Zones, except for Commercial Users which remain subject to general income tax rate, the current income tax rate is 33%.</w:t>
      </w:r>
    </w:p>
    <w:p w14:paraId="178F7A3D" w14:textId="77777777" w:rsidR="003F5734" w:rsidRPr="003479F6" w:rsidRDefault="003F5734" w:rsidP="003479F6">
      <w:pPr>
        <w:numPr>
          <w:ilvl w:val="0"/>
          <w:numId w:val="11"/>
        </w:numPr>
        <w:autoSpaceDE w:val="0"/>
        <w:autoSpaceDN w:val="0"/>
        <w:adjustRightInd w:val="0"/>
        <w:spacing w:after="0" w:line="240" w:lineRule="auto"/>
        <w:ind w:left="993" w:hanging="283"/>
        <w:jc w:val="both"/>
        <w:rPr>
          <w:rFonts w:asciiTheme="minorHAnsi" w:hAnsiTheme="minorHAnsi" w:cs="Arial"/>
          <w:lang w:val="en-US"/>
        </w:rPr>
      </w:pPr>
      <w:r>
        <w:rPr>
          <w:rFonts w:asciiTheme="minorHAnsi" w:hAnsiTheme="minorHAnsi" w:cs="Arial"/>
          <w:lang w:val="en-US"/>
        </w:rPr>
        <w:t>Exemption of customs duties (i.e. VAT and tariffs) for goods imported from abroad, while the goods remain in the Free Trade Zone. However, custom duties are triggered when goods are permanently imported into the Colombian national territory.</w:t>
      </w:r>
    </w:p>
    <w:p w14:paraId="765133F9" w14:textId="77777777" w:rsidR="003F5734" w:rsidRDefault="003F5734" w:rsidP="003479F6">
      <w:pPr>
        <w:numPr>
          <w:ilvl w:val="0"/>
          <w:numId w:val="11"/>
        </w:numPr>
        <w:autoSpaceDE w:val="0"/>
        <w:autoSpaceDN w:val="0"/>
        <w:adjustRightInd w:val="0"/>
        <w:spacing w:after="0" w:line="240" w:lineRule="auto"/>
        <w:ind w:left="993" w:hanging="283"/>
        <w:jc w:val="both"/>
        <w:rPr>
          <w:rFonts w:asciiTheme="minorHAnsi" w:hAnsiTheme="minorHAnsi" w:cs="Arial"/>
          <w:lang w:val="en-US"/>
        </w:rPr>
      </w:pPr>
      <w:r w:rsidRPr="003F5734">
        <w:rPr>
          <w:rFonts w:asciiTheme="minorHAnsi" w:hAnsiTheme="minorHAnsi" w:cs="Arial"/>
          <w:lang w:val="en-US"/>
        </w:rPr>
        <w:t>Manufactured goods in the Free Trade Zone may be sold to the local market</w:t>
      </w:r>
      <w:r>
        <w:rPr>
          <w:rFonts w:asciiTheme="minorHAnsi" w:hAnsiTheme="minorHAnsi" w:cs="Arial"/>
          <w:lang w:val="en-US"/>
        </w:rPr>
        <w:t xml:space="preserve">. </w:t>
      </w:r>
    </w:p>
    <w:p w14:paraId="2443D20B" w14:textId="77777777" w:rsidR="003F5734" w:rsidRPr="003F5734" w:rsidRDefault="003F5734" w:rsidP="003479F6">
      <w:pPr>
        <w:numPr>
          <w:ilvl w:val="0"/>
          <w:numId w:val="11"/>
        </w:numPr>
        <w:autoSpaceDE w:val="0"/>
        <w:autoSpaceDN w:val="0"/>
        <w:adjustRightInd w:val="0"/>
        <w:spacing w:after="0" w:line="240" w:lineRule="auto"/>
        <w:ind w:left="993" w:hanging="283"/>
        <w:jc w:val="both"/>
        <w:rPr>
          <w:rFonts w:asciiTheme="minorHAnsi" w:hAnsiTheme="minorHAnsi" w:cs="Arial"/>
          <w:lang w:val="en-US"/>
        </w:rPr>
      </w:pPr>
      <w:r w:rsidRPr="003F5734">
        <w:rPr>
          <w:rFonts w:asciiTheme="minorHAnsi" w:hAnsiTheme="minorHAnsi" w:cs="Arial"/>
          <w:lang w:val="en-US"/>
        </w:rPr>
        <w:t xml:space="preserve">The sale of raw materials, parts, inputs and finished goods to industrial users of goods and services is exempted from VAT, provided that these goods are necessary for the execution of the user’s corporate purpose. </w:t>
      </w:r>
    </w:p>
    <w:p w14:paraId="58DDA9C4" w14:textId="77777777" w:rsidR="003F5734" w:rsidRDefault="003F5734" w:rsidP="00CE78AC">
      <w:pPr>
        <w:numPr>
          <w:ilvl w:val="0"/>
          <w:numId w:val="11"/>
        </w:numPr>
        <w:autoSpaceDE w:val="0"/>
        <w:autoSpaceDN w:val="0"/>
        <w:adjustRightInd w:val="0"/>
        <w:ind w:left="993" w:hanging="283"/>
        <w:jc w:val="both"/>
        <w:rPr>
          <w:rFonts w:asciiTheme="minorHAnsi" w:hAnsiTheme="minorHAnsi" w:cs="Arial"/>
          <w:lang w:val="en-US"/>
        </w:rPr>
      </w:pPr>
      <w:r>
        <w:rPr>
          <w:rFonts w:asciiTheme="minorHAnsi" w:hAnsiTheme="minorHAnsi" w:cs="Arial"/>
          <w:lang w:val="en-US"/>
        </w:rPr>
        <w:t>The sale and shipment of goods abroad which are located within the Free Trade Zone is exempted from VAT.</w:t>
      </w:r>
    </w:p>
    <w:p w14:paraId="4AC69FC4" w14:textId="77777777" w:rsidR="00DF1798" w:rsidRPr="00DF1798" w:rsidRDefault="003F5734" w:rsidP="00DF1798">
      <w:pPr>
        <w:autoSpaceDE w:val="0"/>
        <w:autoSpaceDN w:val="0"/>
        <w:adjustRightInd w:val="0"/>
        <w:spacing w:line="240" w:lineRule="auto"/>
        <w:ind w:left="360"/>
        <w:jc w:val="both"/>
        <w:outlineLvl w:val="3"/>
        <w:rPr>
          <w:rFonts w:asciiTheme="minorHAnsi" w:hAnsiTheme="minorHAnsi" w:cs="Arial"/>
          <w:b/>
          <w:lang w:val="en-US" w:eastAsia="es-CO"/>
        </w:rPr>
      </w:pPr>
      <w:r w:rsidRPr="006E1471">
        <w:rPr>
          <w:rFonts w:asciiTheme="minorHAnsi" w:hAnsiTheme="minorHAnsi" w:cs="Arial"/>
          <w:b/>
          <w:lang w:val="en-US" w:eastAsia="es-CO"/>
        </w:rPr>
        <w:t>Customs benefits:</w:t>
      </w:r>
    </w:p>
    <w:p w14:paraId="40EBFAB2" w14:textId="77777777" w:rsidR="003F5734" w:rsidRDefault="003F5734" w:rsidP="00DF1798">
      <w:pPr>
        <w:numPr>
          <w:ilvl w:val="0"/>
          <w:numId w:val="11"/>
        </w:numPr>
        <w:autoSpaceDE w:val="0"/>
        <w:autoSpaceDN w:val="0"/>
        <w:adjustRightInd w:val="0"/>
        <w:spacing w:after="0"/>
        <w:ind w:left="993" w:hanging="283"/>
        <w:jc w:val="both"/>
        <w:rPr>
          <w:rFonts w:asciiTheme="minorHAnsi" w:eastAsia="Times New Roman" w:hAnsiTheme="minorHAnsi" w:cs="Arial"/>
          <w:lang w:val="en-US" w:eastAsia="es-ES"/>
        </w:rPr>
      </w:pPr>
      <w:r>
        <w:rPr>
          <w:rFonts w:asciiTheme="minorHAnsi" w:hAnsiTheme="minorHAnsi" w:cs="Arial"/>
          <w:lang w:val="en-US"/>
        </w:rPr>
        <w:t>Quick and simplified introduction procedures.</w:t>
      </w:r>
    </w:p>
    <w:p w14:paraId="37FD45FF" w14:textId="77777777" w:rsidR="003F5734" w:rsidRDefault="003F5734" w:rsidP="003479F6">
      <w:pPr>
        <w:numPr>
          <w:ilvl w:val="0"/>
          <w:numId w:val="11"/>
        </w:numPr>
        <w:autoSpaceDE w:val="0"/>
        <w:autoSpaceDN w:val="0"/>
        <w:adjustRightInd w:val="0"/>
        <w:spacing w:after="0"/>
        <w:ind w:left="993" w:hanging="283"/>
        <w:jc w:val="both"/>
        <w:rPr>
          <w:rFonts w:asciiTheme="minorHAnsi" w:hAnsiTheme="minorHAnsi" w:cs="Arial"/>
          <w:lang w:val="en-US"/>
        </w:rPr>
      </w:pPr>
      <w:r>
        <w:rPr>
          <w:rFonts w:asciiTheme="minorHAnsi" w:hAnsiTheme="minorHAnsi" w:cs="Arial"/>
          <w:lang w:val="en-US"/>
        </w:rPr>
        <w:t xml:space="preserve">To enter goods into the Free Trade Zone it is only required that the transportation document is consigned or transmitted in favor of the Free Trade Zone user. </w:t>
      </w:r>
    </w:p>
    <w:p w14:paraId="0A731E7B" w14:textId="77777777" w:rsidR="003F5734" w:rsidRDefault="003F5734" w:rsidP="003479F6">
      <w:pPr>
        <w:numPr>
          <w:ilvl w:val="0"/>
          <w:numId w:val="11"/>
        </w:numPr>
        <w:autoSpaceDE w:val="0"/>
        <w:autoSpaceDN w:val="0"/>
        <w:adjustRightInd w:val="0"/>
        <w:spacing w:after="0"/>
        <w:ind w:left="993" w:hanging="283"/>
        <w:jc w:val="both"/>
        <w:rPr>
          <w:rFonts w:asciiTheme="minorHAnsi" w:hAnsiTheme="minorHAnsi" w:cs="Arial"/>
          <w:lang w:val="en-US"/>
        </w:rPr>
      </w:pPr>
      <w:r>
        <w:rPr>
          <w:rFonts w:asciiTheme="minorHAnsi" w:hAnsiTheme="minorHAnsi" w:cs="Arial"/>
          <w:lang w:val="en-US"/>
        </w:rPr>
        <w:t xml:space="preserve">The merchandise within a Free Trade Zone may remain inside such zone indefinitely. </w:t>
      </w:r>
    </w:p>
    <w:p w14:paraId="7D651C29" w14:textId="77777777" w:rsidR="003F5734" w:rsidRDefault="003F5734" w:rsidP="003479F6">
      <w:pPr>
        <w:numPr>
          <w:ilvl w:val="0"/>
          <w:numId w:val="11"/>
        </w:numPr>
        <w:autoSpaceDE w:val="0"/>
        <w:autoSpaceDN w:val="0"/>
        <w:adjustRightInd w:val="0"/>
        <w:spacing w:after="0"/>
        <w:ind w:left="993" w:hanging="283"/>
        <w:jc w:val="both"/>
        <w:rPr>
          <w:rFonts w:asciiTheme="minorHAnsi" w:hAnsiTheme="minorHAnsi" w:cs="Arial"/>
          <w:lang w:val="en-US"/>
        </w:rPr>
      </w:pPr>
      <w:r>
        <w:rPr>
          <w:rFonts w:asciiTheme="minorHAnsi" w:hAnsiTheme="minorHAnsi" w:cs="Arial"/>
          <w:lang w:val="en-US"/>
        </w:rPr>
        <w:lastRenderedPageBreak/>
        <w:t xml:space="preserve">The trade regulations allow partial processing or manufacturing processes of raw materials outside of the Free Trade Zone for a period of up to 9 months. </w:t>
      </w:r>
    </w:p>
    <w:p w14:paraId="2AF65C0A" w14:textId="77777777" w:rsidR="003F5734" w:rsidRDefault="003F5734" w:rsidP="003479F6">
      <w:pPr>
        <w:numPr>
          <w:ilvl w:val="0"/>
          <w:numId w:val="11"/>
        </w:numPr>
        <w:autoSpaceDE w:val="0"/>
        <w:autoSpaceDN w:val="0"/>
        <w:adjustRightInd w:val="0"/>
        <w:spacing w:after="0"/>
        <w:ind w:left="993" w:hanging="283"/>
        <w:jc w:val="both"/>
        <w:rPr>
          <w:rFonts w:asciiTheme="minorHAnsi" w:eastAsia="Times New Roman" w:hAnsiTheme="minorHAnsi" w:cs="Arial"/>
          <w:lang w:val="en-US" w:eastAsia="es-ES"/>
        </w:rPr>
      </w:pPr>
      <w:r>
        <w:rPr>
          <w:rFonts w:asciiTheme="minorHAnsi" w:hAnsiTheme="minorHAnsi" w:cs="Arial"/>
          <w:lang w:val="en-US"/>
        </w:rPr>
        <w:t>Goods produced within the Free Trade Zone are considered to have Colombian origin for the purpose of Free Trade Agreements signed by Colombia.</w:t>
      </w:r>
    </w:p>
    <w:p w14:paraId="4835AAF2" w14:textId="77777777" w:rsidR="003F5734" w:rsidRDefault="003F5734" w:rsidP="003479F6">
      <w:pPr>
        <w:numPr>
          <w:ilvl w:val="0"/>
          <w:numId w:val="11"/>
        </w:numPr>
        <w:autoSpaceDE w:val="0"/>
        <w:autoSpaceDN w:val="0"/>
        <w:adjustRightInd w:val="0"/>
        <w:spacing w:after="0"/>
        <w:ind w:left="993" w:hanging="283"/>
        <w:jc w:val="both"/>
        <w:rPr>
          <w:rFonts w:asciiTheme="minorHAnsi" w:hAnsiTheme="minorHAnsi" w:cs="Arial"/>
          <w:lang w:val="en-US"/>
        </w:rPr>
      </w:pPr>
      <w:r>
        <w:rPr>
          <w:rFonts w:asciiTheme="minorHAnsi" w:hAnsiTheme="minorHAnsi" w:cs="Arial"/>
          <w:lang w:val="en-US"/>
        </w:rPr>
        <w:t>Ease of handling inventories and logistics operations between Border Port Free Trade Zones and Interior Port Free Trade Zones.</w:t>
      </w:r>
    </w:p>
    <w:p w14:paraId="4DEBF269" w14:textId="77777777" w:rsidR="00F26FAF" w:rsidRPr="003479F6" w:rsidRDefault="003479F6" w:rsidP="003479F6">
      <w:pPr>
        <w:pStyle w:val="Heading2"/>
        <w:rPr>
          <w:rFonts w:asciiTheme="minorHAnsi" w:hAnsiTheme="minorHAnsi" w:cstheme="minorHAnsi"/>
          <w:sz w:val="28"/>
          <w:lang w:val="en-US"/>
        </w:rPr>
      </w:pPr>
      <w:r w:rsidRPr="003479F6">
        <w:rPr>
          <w:rFonts w:asciiTheme="minorHAnsi" w:hAnsiTheme="minorHAnsi" w:cstheme="minorHAnsi"/>
          <w:sz w:val="28"/>
          <w:lang w:val="en-US"/>
        </w:rPr>
        <w:t xml:space="preserve">Labor Incentives </w:t>
      </w:r>
    </w:p>
    <w:p w14:paraId="6FBF8095" w14:textId="77777777" w:rsidR="00F26FAF" w:rsidRDefault="00F26FAF" w:rsidP="00F26FAF">
      <w:pPr>
        <w:pStyle w:val="ListParagraph"/>
        <w:rPr>
          <w:lang w:val="en-US" w:eastAsia="es-ES"/>
        </w:rPr>
      </w:pPr>
    </w:p>
    <w:p w14:paraId="20B4B730" w14:textId="77777777" w:rsidR="00F26FAF" w:rsidRPr="00DF1798" w:rsidRDefault="00F26FAF" w:rsidP="00DF1798">
      <w:pPr>
        <w:autoSpaceDE w:val="0"/>
        <w:autoSpaceDN w:val="0"/>
        <w:adjustRightInd w:val="0"/>
        <w:spacing w:line="240" w:lineRule="auto"/>
        <w:ind w:left="360"/>
        <w:jc w:val="both"/>
        <w:outlineLvl w:val="3"/>
        <w:rPr>
          <w:rFonts w:asciiTheme="minorHAnsi" w:hAnsiTheme="minorHAnsi" w:cs="Arial"/>
          <w:b/>
          <w:lang w:val="en-US" w:eastAsia="es-CO"/>
        </w:rPr>
      </w:pPr>
      <w:r w:rsidRPr="00DF1798">
        <w:rPr>
          <w:rFonts w:asciiTheme="minorHAnsi" w:hAnsiTheme="minorHAnsi" w:cs="Arial"/>
          <w:b/>
          <w:lang w:val="en-US" w:eastAsia="es-CO"/>
        </w:rPr>
        <w:t>Hiring people with disabilities.</w:t>
      </w:r>
    </w:p>
    <w:p w14:paraId="4FE46502" w14:textId="77777777" w:rsidR="00F26FAF" w:rsidRPr="00C75511" w:rsidRDefault="00F26FAF" w:rsidP="00F26FAF">
      <w:pPr>
        <w:spacing w:line="240" w:lineRule="auto"/>
        <w:jc w:val="both"/>
        <w:rPr>
          <w:rFonts w:asciiTheme="minorHAnsi" w:hAnsiTheme="minorHAnsi" w:cstheme="minorHAnsi"/>
          <w:lang w:val="en-US"/>
        </w:rPr>
      </w:pPr>
      <w:r w:rsidRPr="00C75511">
        <w:rPr>
          <w:rFonts w:asciiTheme="minorHAnsi" w:hAnsiTheme="minorHAnsi" w:cstheme="minorHAnsi"/>
          <w:lang w:val="en-US"/>
        </w:rPr>
        <w:t>Employers who employ workers with a proved disability of not less than 25% and who are required to file income and supplementary declarations are entitled to deduct from the income tax 200% of the value of the wages and social benefits paid during the taxable year or period to workers with disabilities, while it subsists.</w:t>
      </w:r>
    </w:p>
    <w:p w14:paraId="0803DCE4" w14:textId="77777777" w:rsidR="00F26FAF" w:rsidRPr="00C75511" w:rsidRDefault="00F26FAF" w:rsidP="00F26FAF">
      <w:pPr>
        <w:spacing w:line="240" w:lineRule="auto"/>
        <w:jc w:val="both"/>
        <w:rPr>
          <w:rFonts w:asciiTheme="minorHAnsi" w:hAnsiTheme="minorHAnsi" w:cstheme="minorHAnsi"/>
          <w:lang w:val="en-US"/>
        </w:rPr>
      </w:pPr>
      <w:r w:rsidRPr="00C75511">
        <w:rPr>
          <w:rFonts w:asciiTheme="minorHAnsi" w:hAnsiTheme="minorHAnsi" w:cstheme="minorHAnsi"/>
          <w:lang w:val="en-US"/>
        </w:rPr>
        <w:t>These employers are also preferred under equal conditions in the bidding, awarding and conclusion of contracts, whether public or private, if they have at least a minimum of 10% of their employees with the named disability conditions.</w:t>
      </w:r>
    </w:p>
    <w:p w14:paraId="173DBE2B" w14:textId="77777777" w:rsidR="00F26FAF" w:rsidRPr="00C75511" w:rsidRDefault="00F26FAF" w:rsidP="00F26FAF">
      <w:pPr>
        <w:spacing w:after="0" w:line="240" w:lineRule="auto"/>
        <w:jc w:val="both"/>
        <w:rPr>
          <w:rFonts w:asciiTheme="minorHAnsi" w:hAnsiTheme="minorHAnsi" w:cstheme="minorHAnsi"/>
          <w:b/>
          <w:lang w:val="en-US"/>
        </w:rPr>
      </w:pPr>
    </w:p>
    <w:p w14:paraId="36B538F6" w14:textId="77777777" w:rsidR="00F26FAF" w:rsidRPr="00DF1798" w:rsidRDefault="00F26FAF" w:rsidP="00DF1798">
      <w:pPr>
        <w:autoSpaceDE w:val="0"/>
        <w:autoSpaceDN w:val="0"/>
        <w:adjustRightInd w:val="0"/>
        <w:spacing w:line="240" w:lineRule="auto"/>
        <w:ind w:left="360"/>
        <w:jc w:val="both"/>
        <w:outlineLvl w:val="3"/>
        <w:rPr>
          <w:rFonts w:asciiTheme="minorHAnsi" w:hAnsiTheme="minorHAnsi" w:cs="Arial"/>
          <w:b/>
          <w:lang w:val="en-US" w:eastAsia="es-CO"/>
        </w:rPr>
      </w:pPr>
      <w:r w:rsidRPr="00DF1798">
        <w:rPr>
          <w:rFonts w:asciiTheme="minorHAnsi" w:hAnsiTheme="minorHAnsi" w:cs="Arial"/>
          <w:b/>
          <w:lang w:val="en-US" w:eastAsia="es-CO"/>
        </w:rPr>
        <w:t>Exemption of payment to Compensation Funds.</w:t>
      </w:r>
    </w:p>
    <w:p w14:paraId="6156F7D4" w14:textId="77777777" w:rsidR="00F26FAF" w:rsidRPr="00C75511" w:rsidRDefault="00F26FAF" w:rsidP="00F26FAF">
      <w:pPr>
        <w:spacing w:line="240" w:lineRule="auto"/>
        <w:jc w:val="both"/>
        <w:rPr>
          <w:rFonts w:asciiTheme="minorHAnsi" w:hAnsiTheme="minorHAnsi" w:cstheme="minorHAnsi"/>
          <w:lang w:val="en-US"/>
        </w:rPr>
      </w:pPr>
      <w:r w:rsidRPr="00C75511">
        <w:rPr>
          <w:rFonts w:asciiTheme="minorHAnsi" w:hAnsiTheme="minorHAnsi" w:cstheme="minorHAnsi"/>
          <w:lang w:val="en-US"/>
        </w:rPr>
        <w:t>Employers who employ new staff between the ages of 18 and 28 will not have to make the contributions to Compensation Funds (Cajas de Compensación Familiar in Spanish) by the affiliated workers during the first year of employment.</w:t>
      </w:r>
    </w:p>
    <w:p w14:paraId="606E5E46" w14:textId="77777777" w:rsidR="00F26FAF" w:rsidRPr="00DF1798" w:rsidRDefault="00F26FAF" w:rsidP="00DF1798">
      <w:pPr>
        <w:autoSpaceDE w:val="0"/>
        <w:autoSpaceDN w:val="0"/>
        <w:adjustRightInd w:val="0"/>
        <w:spacing w:line="240" w:lineRule="auto"/>
        <w:ind w:left="360"/>
        <w:jc w:val="both"/>
        <w:outlineLvl w:val="3"/>
        <w:rPr>
          <w:rFonts w:asciiTheme="minorHAnsi" w:hAnsiTheme="minorHAnsi" w:cs="Arial"/>
          <w:b/>
          <w:lang w:val="en-US" w:eastAsia="es-CO"/>
        </w:rPr>
      </w:pPr>
      <w:r w:rsidRPr="00DF1798">
        <w:rPr>
          <w:rFonts w:asciiTheme="minorHAnsi" w:hAnsiTheme="minorHAnsi" w:cs="Arial"/>
          <w:b/>
          <w:lang w:val="en-US" w:eastAsia="es-CO"/>
        </w:rPr>
        <w:t>Incentive for the first job</w:t>
      </w:r>
    </w:p>
    <w:p w14:paraId="0523909B" w14:textId="77777777" w:rsidR="00F26FAF" w:rsidRPr="00C75511" w:rsidRDefault="00F26FAF" w:rsidP="00F26FAF">
      <w:pPr>
        <w:jc w:val="both"/>
        <w:rPr>
          <w:rFonts w:asciiTheme="minorHAnsi" w:hAnsiTheme="minorHAnsi" w:cstheme="minorHAnsi"/>
          <w:lang w:val="en-US"/>
        </w:rPr>
      </w:pPr>
      <w:r w:rsidRPr="00C75511">
        <w:rPr>
          <w:rFonts w:asciiTheme="minorHAnsi" w:hAnsiTheme="minorHAnsi" w:cstheme="minorHAnsi"/>
          <w:lang w:val="en-US"/>
        </w:rPr>
        <w:t xml:space="preserve">It is a subsidy granted by the Government to companies legally constituted under Colombian laws and with at least one year of existence, which provide employment for young people within 18 and 28 years old with no previous labor experience. </w:t>
      </w:r>
    </w:p>
    <w:tbl>
      <w:tblPr>
        <w:tblStyle w:val="MediumGrid1-Accent1"/>
        <w:tblW w:w="8447" w:type="dxa"/>
        <w:jc w:val="center"/>
        <w:tblLook w:val="04A0" w:firstRow="1" w:lastRow="0" w:firstColumn="1" w:lastColumn="0" w:noHBand="0" w:noVBand="1"/>
      </w:tblPr>
      <w:tblGrid>
        <w:gridCol w:w="2474"/>
        <w:gridCol w:w="5973"/>
      </w:tblGrid>
      <w:tr w:rsidR="00F26FAF" w:rsidRPr="00BE0341" w14:paraId="78846A42" w14:textId="77777777" w:rsidTr="00B3151A">
        <w:trPr>
          <w:cnfStyle w:val="100000000000" w:firstRow="1" w:lastRow="0" w:firstColumn="0" w:lastColumn="0" w:oddVBand="0" w:evenVBand="0" w:oddHBand="0" w:evenHBand="0" w:firstRowFirstColumn="0" w:firstRowLastColumn="0" w:lastRowFirstColumn="0" w:lastRowLastColumn="0"/>
          <w:cantSplit/>
          <w:trHeight w:val="603"/>
          <w:tblHeader/>
          <w:jc w:val="center"/>
        </w:trPr>
        <w:tc>
          <w:tcPr>
            <w:cnfStyle w:val="001000000000" w:firstRow="0" w:lastRow="0" w:firstColumn="1" w:lastColumn="0" w:oddVBand="0" w:evenVBand="0" w:oddHBand="0" w:evenHBand="0" w:firstRowFirstColumn="0" w:firstRowLastColumn="0" w:lastRowFirstColumn="0" w:lastRowLastColumn="0"/>
            <w:tcW w:w="2474" w:type="dxa"/>
            <w:shd w:val="clear" w:color="auto" w:fill="002060"/>
            <w:vAlign w:val="center"/>
            <w:hideMark/>
          </w:tcPr>
          <w:p w14:paraId="406F305F" w14:textId="77777777" w:rsidR="00F26FAF" w:rsidRPr="00C75511" w:rsidRDefault="00F26FAF" w:rsidP="00B3151A">
            <w:pPr>
              <w:jc w:val="both"/>
              <w:rPr>
                <w:rFonts w:asciiTheme="minorHAnsi" w:hAnsiTheme="minorHAnsi" w:cstheme="minorHAnsi"/>
                <w:color w:val="FFFFFF" w:themeColor="background1"/>
                <w:sz w:val="20"/>
                <w:lang w:val="en-US"/>
              </w:rPr>
            </w:pPr>
            <w:r w:rsidRPr="00C75511">
              <w:rPr>
                <w:rFonts w:asciiTheme="minorHAnsi" w:hAnsiTheme="minorHAnsi" w:cstheme="minorHAnsi"/>
                <w:color w:val="FFFFFF" w:themeColor="background1"/>
                <w:sz w:val="20"/>
                <w:lang w:val="en-US"/>
              </w:rPr>
              <w:t>Level of education of the employee</w:t>
            </w:r>
          </w:p>
        </w:tc>
        <w:tc>
          <w:tcPr>
            <w:tcW w:w="5973" w:type="dxa"/>
            <w:shd w:val="clear" w:color="auto" w:fill="002060"/>
            <w:vAlign w:val="center"/>
            <w:hideMark/>
          </w:tcPr>
          <w:p w14:paraId="049F90D8" w14:textId="77777777" w:rsidR="00F26FAF" w:rsidRPr="00C75511" w:rsidRDefault="00F26FAF" w:rsidP="00B3151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lang w:val="en-US"/>
              </w:rPr>
            </w:pPr>
            <w:r w:rsidRPr="00C75511">
              <w:rPr>
                <w:rFonts w:asciiTheme="minorHAnsi" w:hAnsiTheme="minorHAnsi" w:cstheme="minorHAnsi"/>
                <w:color w:val="FFFFFF" w:themeColor="background1"/>
                <w:sz w:val="20"/>
                <w:lang w:val="en-US"/>
              </w:rPr>
              <w:t>Subsidy granted to the company for each employee</w:t>
            </w:r>
          </w:p>
        </w:tc>
      </w:tr>
      <w:tr w:rsidR="00F26FAF" w:rsidRPr="00BE0341" w14:paraId="1DD7DBB5" w14:textId="77777777" w:rsidTr="00B3151A">
        <w:trPr>
          <w:cnfStyle w:val="000000100000" w:firstRow="0" w:lastRow="0" w:firstColumn="0" w:lastColumn="0" w:oddVBand="0" w:evenVBand="0" w:oddHBand="1" w:evenHBand="0" w:firstRowFirstColumn="0" w:firstRowLastColumn="0" w:lastRowFirstColumn="0" w:lastRowLastColumn="0"/>
          <w:trHeight w:val="675"/>
          <w:jc w:val="center"/>
        </w:trPr>
        <w:tc>
          <w:tcPr>
            <w:cnfStyle w:val="001000000000" w:firstRow="0" w:lastRow="0" w:firstColumn="1" w:lastColumn="0" w:oddVBand="0" w:evenVBand="0" w:oddHBand="0" w:evenHBand="0" w:firstRowFirstColumn="0" w:firstRowLastColumn="0" w:lastRowFirstColumn="0" w:lastRowLastColumn="0"/>
            <w:tcW w:w="2474" w:type="dxa"/>
            <w:shd w:val="clear" w:color="auto" w:fill="FFFFFF" w:themeFill="background1"/>
            <w:vAlign w:val="center"/>
            <w:hideMark/>
          </w:tcPr>
          <w:p w14:paraId="0AED643C" w14:textId="77777777" w:rsidR="00F26FAF" w:rsidRPr="00C75511" w:rsidRDefault="00F26FAF" w:rsidP="00B3151A">
            <w:pPr>
              <w:jc w:val="both"/>
              <w:rPr>
                <w:rFonts w:asciiTheme="minorHAnsi" w:hAnsiTheme="minorHAnsi" w:cstheme="minorHAnsi"/>
                <w:sz w:val="20"/>
                <w:lang w:val="en-US"/>
              </w:rPr>
            </w:pPr>
            <w:r w:rsidRPr="00C75511">
              <w:rPr>
                <w:rFonts w:asciiTheme="minorHAnsi" w:hAnsiTheme="minorHAnsi" w:cstheme="minorHAnsi"/>
                <w:sz w:val="20"/>
                <w:lang w:val="en-US"/>
              </w:rPr>
              <w:t>High School</w:t>
            </w:r>
          </w:p>
        </w:tc>
        <w:tc>
          <w:tcPr>
            <w:tcW w:w="5973" w:type="dxa"/>
            <w:shd w:val="clear" w:color="auto" w:fill="FFFFFF" w:themeFill="background1"/>
            <w:vAlign w:val="center"/>
            <w:hideMark/>
          </w:tcPr>
          <w:p w14:paraId="502B07D2" w14:textId="77777777" w:rsidR="00F26FAF" w:rsidRPr="00C75511" w:rsidRDefault="00F26FAF" w:rsidP="00B3151A">
            <w:pPr>
              <w:pStyle w:val="NormalWeb"/>
              <w:tabs>
                <w:tab w:val="center" w:pos="4420"/>
                <w:tab w:val="left" w:pos="6762"/>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lang w:val="en-US"/>
              </w:rPr>
            </w:pPr>
            <w:r w:rsidRPr="00C75511">
              <w:rPr>
                <w:rFonts w:asciiTheme="minorHAnsi" w:hAnsiTheme="minorHAnsi" w:cstheme="minorHAnsi"/>
                <w:bCs/>
                <w:kern w:val="24"/>
                <w:sz w:val="20"/>
                <w:szCs w:val="22"/>
                <w:lang w:val="en-US"/>
              </w:rPr>
              <w:t>COP 644.350 (Approx. USD 214) + transportation subsidy + social benefits</w:t>
            </w:r>
          </w:p>
        </w:tc>
      </w:tr>
      <w:tr w:rsidR="00F26FAF" w:rsidRPr="00BE0341" w14:paraId="1FAF618B" w14:textId="77777777" w:rsidTr="00B3151A">
        <w:trPr>
          <w:trHeight w:val="579"/>
          <w:jc w:val="center"/>
        </w:trPr>
        <w:tc>
          <w:tcPr>
            <w:cnfStyle w:val="001000000000" w:firstRow="0" w:lastRow="0" w:firstColumn="1" w:lastColumn="0" w:oddVBand="0" w:evenVBand="0" w:oddHBand="0" w:evenHBand="0" w:firstRowFirstColumn="0" w:firstRowLastColumn="0" w:lastRowFirstColumn="0" w:lastRowLastColumn="0"/>
            <w:tcW w:w="2474" w:type="dxa"/>
            <w:shd w:val="clear" w:color="auto" w:fill="FFFFFF" w:themeFill="background1"/>
            <w:vAlign w:val="center"/>
            <w:hideMark/>
          </w:tcPr>
          <w:p w14:paraId="7D146F1D" w14:textId="77777777" w:rsidR="00F26FAF" w:rsidRPr="00C75511" w:rsidRDefault="00F26FAF" w:rsidP="00B3151A">
            <w:pPr>
              <w:jc w:val="both"/>
              <w:rPr>
                <w:rFonts w:asciiTheme="minorHAnsi" w:hAnsiTheme="minorHAnsi" w:cstheme="minorHAnsi"/>
                <w:sz w:val="20"/>
                <w:lang w:val="en-US"/>
              </w:rPr>
            </w:pPr>
            <w:r w:rsidRPr="00C75511">
              <w:rPr>
                <w:rFonts w:asciiTheme="minorHAnsi" w:hAnsiTheme="minorHAnsi" w:cstheme="minorHAnsi"/>
                <w:sz w:val="20"/>
                <w:lang w:val="en-US"/>
              </w:rPr>
              <w:t>Technical professional</w:t>
            </w:r>
          </w:p>
        </w:tc>
        <w:tc>
          <w:tcPr>
            <w:tcW w:w="5973" w:type="dxa"/>
            <w:shd w:val="clear" w:color="auto" w:fill="FFFFFF" w:themeFill="background1"/>
            <w:vAlign w:val="center"/>
            <w:hideMark/>
          </w:tcPr>
          <w:p w14:paraId="13F7ACDD" w14:textId="77777777" w:rsidR="00F26FAF" w:rsidRPr="00C75511" w:rsidRDefault="00F26FAF" w:rsidP="00B3151A">
            <w:pPr>
              <w:pStyle w:val="NormalWeb"/>
              <w:tabs>
                <w:tab w:val="center" w:pos="4420"/>
                <w:tab w:val="left" w:pos="6762"/>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lang w:val="en-US"/>
              </w:rPr>
            </w:pPr>
            <w:r w:rsidRPr="00C75511">
              <w:rPr>
                <w:rFonts w:asciiTheme="minorHAnsi" w:hAnsiTheme="minorHAnsi" w:cstheme="minorHAnsi"/>
                <w:bCs/>
                <w:kern w:val="24"/>
                <w:sz w:val="20"/>
                <w:szCs w:val="22"/>
                <w:lang w:val="en-US"/>
              </w:rPr>
              <w:t>COP 700.000 (Approx. USD 233) + transportation subsidy + social benefits</w:t>
            </w:r>
          </w:p>
        </w:tc>
      </w:tr>
      <w:tr w:rsidR="00F26FAF" w:rsidRPr="00BE0341" w14:paraId="0BC5CDF1" w14:textId="77777777" w:rsidTr="00B3151A">
        <w:trPr>
          <w:cnfStyle w:val="000000100000" w:firstRow="0" w:lastRow="0" w:firstColumn="0" w:lastColumn="0" w:oddVBand="0" w:evenVBand="0" w:oddHBand="1" w:evenHBand="0" w:firstRowFirstColumn="0" w:firstRowLastColumn="0" w:lastRowFirstColumn="0" w:lastRowLastColumn="0"/>
          <w:trHeight w:val="483"/>
          <w:jc w:val="center"/>
        </w:trPr>
        <w:tc>
          <w:tcPr>
            <w:cnfStyle w:val="001000000000" w:firstRow="0" w:lastRow="0" w:firstColumn="1" w:lastColumn="0" w:oddVBand="0" w:evenVBand="0" w:oddHBand="0" w:evenHBand="0" w:firstRowFirstColumn="0" w:firstRowLastColumn="0" w:lastRowFirstColumn="0" w:lastRowLastColumn="0"/>
            <w:tcW w:w="2474" w:type="dxa"/>
            <w:shd w:val="clear" w:color="auto" w:fill="FFFFFF" w:themeFill="background1"/>
            <w:vAlign w:val="center"/>
            <w:hideMark/>
          </w:tcPr>
          <w:p w14:paraId="263DE15F" w14:textId="77777777" w:rsidR="00F26FAF" w:rsidRPr="00C75511" w:rsidRDefault="00F26FAF" w:rsidP="00B3151A">
            <w:pPr>
              <w:jc w:val="both"/>
              <w:rPr>
                <w:rFonts w:asciiTheme="minorHAnsi" w:hAnsiTheme="minorHAnsi" w:cstheme="minorHAnsi"/>
                <w:sz w:val="20"/>
                <w:lang w:val="en-US"/>
              </w:rPr>
            </w:pPr>
            <w:r w:rsidRPr="00C75511">
              <w:rPr>
                <w:rFonts w:asciiTheme="minorHAnsi" w:hAnsiTheme="minorHAnsi" w:cstheme="minorHAnsi"/>
                <w:sz w:val="20"/>
                <w:lang w:val="en-US"/>
              </w:rPr>
              <w:t>Technical</w:t>
            </w:r>
          </w:p>
        </w:tc>
        <w:tc>
          <w:tcPr>
            <w:tcW w:w="5973" w:type="dxa"/>
            <w:shd w:val="clear" w:color="auto" w:fill="FFFFFF" w:themeFill="background1"/>
            <w:vAlign w:val="center"/>
            <w:hideMark/>
          </w:tcPr>
          <w:p w14:paraId="2EFBC51E" w14:textId="77777777" w:rsidR="00F26FAF" w:rsidRPr="00C75511" w:rsidRDefault="00F26FAF" w:rsidP="00B3151A">
            <w:pPr>
              <w:pStyle w:val="NormalWeb"/>
              <w:tabs>
                <w:tab w:val="center" w:pos="4420"/>
                <w:tab w:val="left" w:pos="6762"/>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lang w:val="en-US"/>
              </w:rPr>
            </w:pPr>
            <w:r w:rsidRPr="00C75511">
              <w:rPr>
                <w:rFonts w:asciiTheme="minorHAnsi" w:hAnsiTheme="minorHAnsi" w:cstheme="minorHAnsi"/>
                <w:bCs/>
                <w:kern w:val="24"/>
                <w:sz w:val="20"/>
                <w:szCs w:val="22"/>
                <w:lang w:val="en-US"/>
              </w:rPr>
              <w:t>COP 750.000 (Approx. USD 250) + transportation subsidy + social benefits</w:t>
            </w:r>
          </w:p>
        </w:tc>
      </w:tr>
      <w:tr w:rsidR="00F26FAF" w:rsidRPr="00BE0341" w14:paraId="6AD53910" w14:textId="77777777" w:rsidTr="00B3151A">
        <w:trPr>
          <w:trHeight w:val="974"/>
          <w:jc w:val="center"/>
        </w:trPr>
        <w:tc>
          <w:tcPr>
            <w:cnfStyle w:val="001000000000" w:firstRow="0" w:lastRow="0" w:firstColumn="1" w:lastColumn="0" w:oddVBand="0" w:evenVBand="0" w:oddHBand="0" w:evenHBand="0" w:firstRowFirstColumn="0" w:firstRowLastColumn="0" w:lastRowFirstColumn="0" w:lastRowLastColumn="0"/>
            <w:tcW w:w="2474" w:type="dxa"/>
            <w:shd w:val="clear" w:color="auto" w:fill="FFFFFF" w:themeFill="background1"/>
            <w:vAlign w:val="center"/>
            <w:hideMark/>
          </w:tcPr>
          <w:p w14:paraId="3E7A5950" w14:textId="77777777" w:rsidR="00F26FAF" w:rsidRPr="00C75511" w:rsidRDefault="00F26FAF" w:rsidP="00B3151A">
            <w:pPr>
              <w:jc w:val="both"/>
              <w:rPr>
                <w:rFonts w:asciiTheme="minorHAnsi" w:hAnsiTheme="minorHAnsi" w:cstheme="minorHAnsi"/>
                <w:sz w:val="20"/>
                <w:lang w:val="en-US"/>
              </w:rPr>
            </w:pPr>
            <w:r w:rsidRPr="00C75511">
              <w:rPr>
                <w:rFonts w:asciiTheme="minorHAnsi" w:hAnsiTheme="minorHAnsi" w:cstheme="minorHAnsi"/>
                <w:sz w:val="20"/>
                <w:lang w:val="en-US"/>
              </w:rPr>
              <w:lastRenderedPageBreak/>
              <w:t>University</w:t>
            </w:r>
          </w:p>
        </w:tc>
        <w:tc>
          <w:tcPr>
            <w:tcW w:w="5973" w:type="dxa"/>
            <w:shd w:val="clear" w:color="auto" w:fill="FFFFFF" w:themeFill="background1"/>
            <w:vAlign w:val="center"/>
            <w:hideMark/>
          </w:tcPr>
          <w:p w14:paraId="76C125D4" w14:textId="77777777" w:rsidR="00F26FAF" w:rsidRPr="00C75511" w:rsidRDefault="00F26FAF" w:rsidP="00B3151A">
            <w:pPr>
              <w:pStyle w:val="NormalWeb"/>
              <w:tabs>
                <w:tab w:val="center" w:pos="4420"/>
                <w:tab w:val="left" w:pos="6762"/>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lang w:val="en-US"/>
              </w:rPr>
            </w:pPr>
            <w:r w:rsidRPr="00C75511">
              <w:rPr>
                <w:rFonts w:asciiTheme="minorHAnsi" w:hAnsiTheme="minorHAnsi" w:cstheme="minorHAnsi"/>
                <w:bCs/>
                <w:kern w:val="24"/>
                <w:sz w:val="20"/>
                <w:szCs w:val="22"/>
                <w:lang w:val="en-US"/>
              </w:rPr>
              <w:t>COP 900.000 (Approx. USD 300) + transportation subsidy + social benefits</w:t>
            </w:r>
          </w:p>
        </w:tc>
      </w:tr>
    </w:tbl>
    <w:p w14:paraId="10FB0F2E" w14:textId="77777777" w:rsidR="00F26FAF" w:rsidRDefault="00F26FAF" w:rsidP="00F26FAF">
      <w:pPr>
        <w:ind w:left="207" w:right="618"/>
        <w:jc w:val="both"/>
        <w:rPr>
          <w:rFonts w:asciiTheme="minorHAnsi" w:hAnsiTheme="minorHAnsi" w:cstheme="minorHAnsi"/>
          <w:i/>
          <w:iCs/>
          <w:lang w:val="en-US"/>
        </w:rPr>
      </w:pPr>
      <w:r w:rsidRPr="00C75511">
        <w:rPr>
          <w:rFonts w:asciiTheme="minorHAnsi" w:hAnsiTheme="minorHAnsi" w:cstheme="minorHAnsi"/>
          <w:i/>
          <w:iCs/>
          <w:lang w:val="en-US"/>
        </w:rPr>
        <w:t>The subsidy is granted until six months, provided that the company maintains the labor contract, with at least the 60% of the employee appointed for another six months.</w:t>
      </w:r>
    </w:p>
    <w:p w14:paraId="0A820EA3" w14:textId="77777777" w:rsidR="00DF1798" w:rsidRDefault="00DF1798" w:rsidP="00F26FAF">
      <w:pPr>
        <w:ind w:left="207" w:right="618"/>
        <w:jc w:val="both"/>
        <w:rPr>
          <w:rFonts w:asciiTheme="minorHAnsi" w:hAnsiTheme="minorHAnsi" w:cstheme="minorHAnsi"/>
          <w:i/>
          <w:iCs/>
          <w:lang w:val="en-US"/>
        </w:rPr>
      </w:pPr>
    </w:p>
    <w:p w14:paraId="3A783C29" w14:textId="77777777" w:rsidR="003479F6" w:rsidRDefault="003479F6" w:rsidP="003479F6">
      <w:pPr>
        <w:pStyle w:val="Heading1"/>
        <w:ind w:left="0"/>
        <w:jc w:val="center"/>
      </w:pPr>
      <w:r w:rsidRPr="003479F6">
        <w:t xml:space="preserve">Tax Regime in Colombia </w:t>
      </w:r>
    </w:p>
    <w:p w14:paraId="31A8CC88" w14:textId="77777777" w:rsidR="003479F6" w:rsidRPr="003479F6" w:rsidRDefault="003479F6" w:rsidP="003479F6"/>
    <w:p w14:paraId="33BB5CDE" w14:textId="77777777" w:rsidR="00F26FAF" w:rsidRPr="003479F6" w:rsidRDefault="00F26FAF" w:rsidP="003479F6">
      <w:pPr>
        <w:jc w:val="both"/>
        <w:rPr>
          <w:rFonts w:asciiTheme="minorHAnsi" w:hAnsiTheme="minorHAnsi" w:cstheme="minorHAnsi"/>
          <w:lang w:val="en-US"/>
        </w:rPr>
      </w:pPr>
      <w:r w:rsidRPr="003479F6">
        <w:rPr>
          <w:rFonts w:asciiTheme="minorHAnsi" w:hAnsiTheme="minorHAnsi" w:cstheme="minorHAnsi"/>
          <w:lang w:val="en-US"/>
        </w:rPr>
        <w:t>The following chart provides a general overview of the main attributes of the Colombian tax system:</w:t>
      </w:r>
    </w:p>
    <w:tbl>
      <w:tblPr>
        <w:tblW w:w="8791" w:type="dxa"/>
        <w:jc w:val="center"/>
        <w:tblCellMar>
          <w:left w:w="0" w:type="dxa"/>
          <w:right w:w="0" w:type="dxa"/>
        </w:tblCellMar>
        <w:tblLook w:val="04A0" w:firstRow="1" w:lastRow="0" w:firstColumn="1" w:lastColumn="0" w:noHBand="0" w:noVBand="1"/>
      </w:tblPr>
      <w:tblGrid>
        <w:gridCol w:w="1962"/>
        <w:gridCol w:w="6829"/>
      </w:tblGrid>
      <w:tr w:rsidR="00F26FAF" w:rsidRPr="00D71831" w14:paraId="0947A70B" w14:textId="77777777" w:rsidTr="00B3151A">
        <w:trPr>
          <w:trHeight w:val="329"/>
          <w:jc w:val="center"/>
        </w:trPr>
        <w:tc>
          <w:tcPr>
            <w:tcW w:w="1962" w:type="dxa"/>
            <w:tcBorders>
              <w:top w:val="single" w:sz="1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5E673DC" w14:textId="77777777" w:rsidR="00F26FAF" w:rsidRPr="00D71831" w:rsidRDefault="00F26FAF" w:rsidP="00B3151A">
            <w:pPr>
              <w:jc w:val="center"/>
              <w:rPr>
                <w:rFonts w:asciiTheme="minorHAnsi" w:hAnsiTheme="minorHAnsi" w:cstheme="minorHAnsi"/>
                <w:iCs/>
                <w:color w:val="000000"/>
                <w:lang w:val="en-US"/>
              </w:rPr>
            </w:pPr>
            <w:r w:rsidRPr="00D71831">
              <w:rPr>
                <w:rFonts w:asciiTheme="minorHAnsi" w:hAnsiTheme="minorHAnsi" w:cstheme="minorHAnsi"/>
                <w:b/>
                <w:bCs/>
                <w:iCs/>
                <w:color w:val="000000"/>
                <w:lang w:val="en-US"/>
              </w:rPr>
              <w:t>Type of Tax</w:t>
            </w:r>
          </w:p>
        </w:tc>
        <w:tc>
          <w:tcPr>
            <w:tcW w:w="6829" w:type="dxa"/>
            <w:tcBorders>
              <w:top w:val="single" w:sz="1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hideMark/>
          </w:tcPr>
          <w:p w14:paraId="64F79623" w14:textId="77777777" w:rsidR="00F26FAF" w:rsidRPr="00D71831" w:rsidRDefault="00F26FAF" w:rsidP="00B3151A">
            <w:pPr>
              <w:jc w:val="center"/>
              <w:rPr>
                <w:rFonts w:asciiTheme="minorHAnsi" w:hAnsiTheme="minorHAnsi" w:cstheme="minorHAnsi"/>
                <w:iCs/>
                <w:color w:val="000000"/>
                <w:lang w:val="en-US"/>
              </w:rPr>
            </w:pPr>
            <w:r w:rsidRPr="00D71831">
              <w:rPr>
                <w:rFonts w:asciiTheme="minorHAnsi" w:hAnsiTheme="minorHAnsi" w:cstheme="minorHAnsi"/>
                <w:b/>
                <w:bCs/>
                <w:iCs/>
                <w:color w:val="000000"/>
                <w:lang w:val="en-US"/>
              </w:rPr>
              <w:t>Main Aspects</w:t>
            </w:r>
          </w:p>
        </w:tc>
      </w:tr>
      <w:tr w:rsidR="00F26FAF" w:rsidRPr="00D71831" w14:paraId="57A59850" w14:textId="77777777" w:rsidTr="00B3151A">
        <w:trPr>
          <w:trHeight w:val="329"/>
          <w:jc w:val="center"/>
        </w:trPr>
        <w:tc>
          <w:tcPr>
            <w:tcW w:w="8791" w:type="dxa"/>
            <w:gridSpan w:val="2"/>
            <w:tcBorders>
              <w:top w:val="single" w:sz="18" w:space="0" w:color="646464"/>
              <w:left w:val="single" w:sz="18" w:space="0" w:color="646464"/>
              <w:bottom w:val="single" w:sz="8" w:space="0" w:color="646464"/>
              <w:right w:val="single" w:sz="18" w:space="0" w:color="646464"/>
            </w:tcBorders>
            <w:shd w:val="clear" w:color="auto" w:fill="1F497D" w:themeFill="text2"/>
            <w:tcMar>
              <w:top w:w="72" w:type="dxa"/>
              <w:left w:w="144" w:type="dxa"/>
              <w:bottom w:w="72" w:type="dxa"/>
              <w:right w:w="144" w:type="dxa"/>
            </w:tcMar>
          </w:tcPr>
          <w:p w14:paraId="1CDFFACF" w14:textId="77777777" w:rsidR="00F26FAF" w:rsidRPr="00D71831" w:rsidRDefault="00F26FAF" w:rsidP="00B3151A">
            <w:pPr>
              <w:jc w:val="center"/>
              <w:rPr>
                <w:rFonts w:asciiTheme="minorHAnsi" w:hAnsiTheme="minorHAnsi" w:cstheme="minorHAnsi"/>
                <w:b/>
                <w:bCs/>
                <w:iCs/>
                <w:color w:val="000000"/>
                <w:lang w:val="en-US"/>
              </w:rPr>
            </w:pPr>
            <w:r w:rsidRPr="00A704AA">
              <w:rPr>
                <w:rFonts w:asciiTheme="minorHAnsi" w:hAnsiTheme="minorHAnsi" w:cstheme="minorHAnsi"/>
                <w:b/>
                <w:bCs/>
                <w:iCs/>
                <w:color w:val="FFFFFF" w:themeColor="background1"/>
                <w:lang w:val="en-US"/>
              </w:rPr>
              <w:t>NATIONAL TAXES</w:t>
            </w:r>
          </w:p>
        </w:tc>
      </w:tr>
      <w:tr w:rsidR="00F26FAF" w:rsidRPr="00BE0341" w14:paraId="3ABDF423" w14:textId="77777777" w:rsidTr="00B3151A">
        <w:trPr>
          <w:trHeight w:val="273"/>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6D108FC"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 xml:space="preserve">Income tax </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hideMark/>
          </w:tcPr>
          <w:p w14:paraId="1C526FCF" w14:textId="77777777" w:rsidR="00F26FAF" w:rsidRDefault="00F26FAF" w:rsidP="00B3151A">
            <w:pPr>
              <w:tabs>
                <w:tab w:val="left" w:pos="3690"/>
              </w:tabs>
              <w:jc w:val="both"/>
              <w:rPr>
                <w:rFonts w:asciiTheme="minorHAnsi" w:hAnsiTheme="minorHAnsi" w:cstheme="minorHAnsi"/>
                <w:iCs/>
                <w:color w:val="000000"/>
                <w:lang w:val="en-US"/>
              </w:rPr>
            </w:pPr>
            <w:r w:rsidRPr="00D71831">
              <w:rPr>
                <w:rFonts w:asciiTheme="minorHAnsi" w:hAnsiTheme="minorHAnsi" w:cstheme="minorHAnsi"/>
                <w:iCs/>
                <w:color w:val="000000"/>
                <w:lang w:val="en-US"/>
              </w:rPr>
              <w:t>Corporate income tax (CIT) rate from 33% in 201</w:t>
            </w:r>
            <w:r>
              <w:rPr>
                <w:rFonts w:asciiTheme="minorHAnsi" w:hAnsiTheme="minorHAnsi" w:cstheme="minorHAnsi"/>
                <w:iCs/>
                <w:color w:val="000000"/>
                <w:lang w:val="en-US"/>
              </w:rPr>
              <w:t>9</w:t>
            </w:r>
            <w:r w:rsidRPr="00D71831">
              <w:rPr>
                <w:rFonts w:asciiTheme="minorHAnsi" w:hAnsiTheme="minorHAnsi" w:cstheme="minorHAnsi"/>
                <w:iCs/>
                <w:color w:val="000000"/>
                <w:lang w:val="en-US"/>
              </w:rPr>
              <w:t xml:space="preserve"> to 32% for 2020, 31% for 2021 and 30% for 2022 and onwards.</w:t>
            </w:r>
          </w:p>
          <w:p w14:paraId="21981DE2" w14:textId="77777777" w:rsidR="00F26FAF" w:rsidRPr="00B210CE" w:rsidRDefault="00F26FAF" w:rsidP="00B3151A">
            <w:pPr>
              <w:tabs>
                <w:tab w:val="left" w:pos="3690"/>
              </w:tabs>
              <w:jc w:val="both"/>
              <w:rPr>
                <w:rFonts w:asciiTheme="minorHAnsi" w:hAnsiTheme="minorHAnsi" w:cstheme="minorHAnsi"/>
                <w:iCs/>
                <w:color w:val="000000"/>
                <w:lang w:val="en-US"/>
              </w:rPr>
            </w:pPr>
            <w:r w:rsidRPr="00B210CE">
              <w:rPr>
                <w:rFonts w:asciiTheme="minorHAnsi" w:hAnsiTheme="minorHAnsi" w:cstheme="minorHAnsi"/>
                <w:iCs/>
                <w:color w:val="000000"/>
                <w:lang w:val="en-US"/>
              </w:rPr>
              <w:t>Tax Reform also repeals the 4% surcharge imposed on corporate income, making the total tax rate 33% for 2019</w:t>
            </w:r>
          </w:p>
          <w:p w14:paraId="63BF3E17" w14:textId="77777777" w:rsidR="00F26FAF" w:rsidRPr="00D71831" w:rsidRDefault="00F26FAF" w:rsidP="00B3151A">
            <w:pPr>
              <w:tabs>
                <w:tab w:val="left" w:pos="3690"/>
              </w:tabs>
              <w:jc w:val="both"/>
              <w:rPr>
                <w:rFonts w:asciiTheme="minorHAnsi" w:hAnsiTheme="minorHAnsi" w:cstheme="minorHAnsi"/>
                <w:iCs/>
                <w:color w:val="000000"/>
                <w:lang w:val="en-US"/>
              </w:rPr>
            </w:pPr>
            <w:r w:rsidRPr="00D71831">
              <w:rPr>
                <w:rFonts w:asciiTheme="minorHAnsi" w:hAnsiTheme="minorHAnsi" w:cstheme="minorHAnsi"/>
                <w:iCs/>
                <w:color w:val="000000"/>
                <w:lang w:val="en-US"/>
              </w:rPr>
              <w:t>Free trade zones users (with the exception of commercial users): 20%</w:t>
            </w:r>
          </w:p>
        </w:tc>
      </w:tr>
      <w:tr w:rsidR="00F26FAF" w:rsidRPr="00D71831" w14:paraId="3559526E" w14:textId="77777777" w:rsidTr="00B3151A">
        <w:trPr>
          <w:trHeight w:val="273"/>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244BBF41" w14:textId="77777777" w:rsidR="00F26FAF" w:rsidRPr="00D71831" w:rsidRDefault="00F26FAF" w:rsidP="00B3151A">
            <w:pPr>
              <w:jc w:val="both"/>
              <w:rPr>
                <w:rFonts w:asciiTheme="minorHAnsi" w:hAnsiTheme="minorHAnsi" w:cstheme="minorHAnsi"/>
                <w:iCs/>
                <w:color w:val="000000"/>
                <w:lang w:val="en-US"/>
              </w:rPr>
            </w:pPr>
            <w:r>
              <w:rPr>
                <w:rFonts w:asciiTheme="minorHAnsi" w:hAnsiTheme="minorHAnsi" w:cstheme="minorHAnsi"/>
                <w:iCs/>
                <w:color w:val="000000"/>
                <w:lang w:val="en-US"/>
              </w:rPr>
              <w:t>P</w:t>
            </w:r>
            <w:r w:rsidRPr="00A704AA">
              <w:rPr>
                <w:rFonts w:asciiTheme="minorHAnsi" w:hAnsiTheme="minorHAnsi" w:cstheme="minorHAnsi"/>
                <w:iCs/>
                <w:color w:val="000000"/>
                <w:lang w:val="en-US"/>
              </w:rPr>
              <w:t>resumptive income tax system</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08F4E09B" w14:textId="77777777" w:rsidR="00F26FAF" w:rsidRPr="00D71831" w:rsidRDefault="00F26FAF" w:rsidP="00B3151A">
            <w:pPr>
              <w:tabs>
                <w:tab w:val="left" w:pos="3690"/>
              </w:tabs>
              <w:jc w:val="both"/>
              <w:rPr>
                <w:rFonts w:asciiTheme="minorHAnsi" w:hAnsiTheme="minorHAnsi" w:cstheme="minorHAnsi"/>
                <w:iCs/>
                <w:color w:val="000000"/>
                <w:lang w:val="en-US"/>
              </w:rPr>
            </w:pPr>
            <w:r w:rsidRPr="00A704AA">
              <w:rPr>
                <w:rFonts w:asciiTheme="minorHAnsi" w:hAnsiTheme="minorHAnsi" w:cstheme="minorHAnsi"/>
                <w:iCs/>
                <w:color w:val="000000"/>
                <w:lang w:val="en-US"/>
              </w:rPr>
              <w:t>The minimum basis (presumptive income tax system) will be reduced to 1.5% on 2019 and</w:t>
            </w:r>
            <w:r>
              <w:rPr>
                <w:rFonts w:asciiTheme="minorHAnsi" w:hAnsiTheme="minorHAnsi" w:cstheme="minorHAnsi"/>
                <w:iCs/>
                <w:color w:val="000000"/>
                <w:lang w:val="en-US"/>
              </w:rPr>
              <w:t xml:space="preserve"> </w:t>
            </w:r>
            <w:r w:rsidRPr="00A704AA">
              <w:rPr>
                <w:rFonts w:asciiTheme="minorHAnsi" w:hAnsiTheme="minorHAnsi" w:cstheme="minorHAnsi"/>
                <w:iCs/>
                <w:color w:val="000000"/>
                <w:lang w:val="en-US"/>
              </w:rPr>
              <w:t>2020. Upon 2021 the rate will be 0%.</w:t>
            </w:r>
            <w:r>
              <w:rPr>
                <w:rFonts w:asciiTheme="minorHAnsi" w:hAnsiTheme="minorHAnsi" w:cstheme="minorHAnsi"/>
                <w:iCs/>
                <w:color w:val="000000"/>
                <w:lang w:val="en-US"/>
              </w:rPr>
              <w:t xml:space="preserve"> </w:t>
            </w:r>
          </w:p>
        </w:tc>
      </w:tr>
      <w:tr w:rsidR="00F26FAF" w:rsidRPr="00BE0341" w14:paraId="468AC85C" w14:textId="77777777" w:rsidTr="00B3151A">
        <w:trPr>
          <w:trHeight w:val="338"/>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3EBC21AC"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Dividend taxation</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5264A9E9"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 xml:space="preserve">Dividends that are paid to foreign companies and/or non-resident natural persons will be taxed at a rate of </w:t>
            </w:r>
            <w:r w:rsidRPr="003925B3">
              <w:rPr>
                <w:rFonts w:asciiTheme="minorHAnsi" w:hAnsiTheme="minorHAnsi" w:cstheme="minorHAnsi"/>
                <w:iCs/>
                <w:color w:val="000000"/>
                <w:lang w:val="en-US"/>
              </w:rPr>
              <w:t>7.5%</w:t>
            </w:r>
            <w:r w:rsidRPr="00D71831">
              <w:rPr>
                <w:rFonts w:asciiTheme="minorHAnsi" w:hAnsiTheme="minorHAnsi" w:cstheme="minorHAnsi"/>
                <w:iCs/>
                <w:color w:val="000000"/>
                <w:lang w:val="en-US"/>
              </w:rPr>
              <w:t>.</w:t>
            </w:r>
          </w:p>
          <w:p w14:paraId="7AD73518" w14:textId="77777777" w:rsidR="00F26FAF" w:rsidRPr="00801D93" w:rsidRDefault="00F26FAF" w:rsidP="00B3151A">
            <w:pPr>
              <w:jc w:val="both"/>
              <w:rPr>
                <w:rFonts w:asciiTheme="minorHAnsi" w:hAnsiTheme="minorHAnsi" w:cstheme="minorHAnsi"/>
                <w:iCs/>
                <w:color w:val="000000"/>
                <w:lang w:val="en-US"/>
              </w:rPr>
            </w:pPr>
            <w:r w:rsidRPr="00801D93">
              <w:rPr>
                <w:rFonts w:asciiTheme="minorHAnsi" w:hAnsiTheme="minorHAnsi" w:cstheme="minorHAnsi"/>
                <w:iCs/>
                <w:color w:val="000000"/>
                <w:lang w:val="en-US"/>
              </w:rPr>
              <w:t>The tax will be charged only on the first distribution of dividends between Colombian entities and may be credited against the dividend tax due once the ultimate Colombian company makes a distribution to its shareholders (nonresident shareholders (entities or individuals) or to Colombian individual residents).</w:t>
            </w:r>
          </w:p>
          <w:p w14:paraId="2D1CD7AD" w14:textId="77777777" w:rsidR="00F26FAF" w:rsidRPr="00D71831" w:rsidRDefault="00F26FAF" w:rsidP="00B3151A">
            <w:pPr>
              <w:jc w:val="both"/>
              <w:rPr>
                <w:rFonts w:asciiTheme="minorHAnsi" w:hAnsiTheme="minorHAnsi" w:cstheme="minorHAnsi"/>
                <w:iCs/>
                <w:color w:val="000000"/>
                <w:lang w:val="en-US"/>
              </w:rPr>
            </w:pPr>
            <w:r w:rsidRPr="00801D93">
              <w:rPr>
                <w:rFonts w:asciiTheme="minorHAnsi" w:hAnsiTheme="minorHAnsi" w:cstheme="minorHAnsi"/>
                <w:iCs/>
                <w:color w:val="000000"/>
                <w:lang w:val="en-US"/>
              </w:rPr>
              <w:t xml:space="preserve">The dividend tax on local distributions does not apply if the Colombian </w:t>
            </w:r>
            <w:r w:rsidRPr="00801D93">
              <w:rPr>
                <w:rFonts w:asciiTheme="minorHAnsi" w:hAnsiTheme="minorHAnsi" w:cstheme="minorHAnsi"/>
                <w:iCs/>
                <w:color w:val="000000"/>
                <w:lang w:val="en-US"/>
              </w:rPr>
              <w:lastRenderedPageBreak/>
              <w:t>companies are part of a registered economic group, or the distribution is to a Colombian entity qualifying for the new Colombian holding company (CHC) regime.</w:t>
            </w:r>
          </w:p>
        </w:tc>
      </w:tr>
      <w:tr w:rsidR="00F26FAF" w:rsidRPr="00D71831" w14:paraId="662804D0" w14:textId="77777777" w:rsidTr="00B3151A">
        <w:trPr>
          <w:trHeight w:val="338"/>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355A52"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lastRenderedPageBreak/>
              <w:t>Capital gains</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hideMark/>
          </w:tcPr>
          <w:p w14:paraId="7AD6E104"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 xml:space="preserve">Levies certain specific incomes such as profits obtained as a result of sale of fixed assets, inheritances and lotteries. </w:t>
            </w:r>
          </w:p>
          <w:p w14:paraId="20833F81"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Rate: 10%</w:t>
            </w:r>
          </w:p>
        </w:tc>
      </w:tr>
      <w:tr w:rsidR="00F26FAF" w:rsidRPr="00BE0341" w14:paraId="72E0513D" w14:textId="77777777" w:rsidTr="00B3151A">
        <w:trPr>
          <w:trHeight w:val="118"/>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284D8E4F"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Debit tax (GMF)</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42593202"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 xml:space="preserve">Levies financial transactions at a 0.4% rate. </w:t>
            </w:r>
          </w:p>
        </w:tc>
      </w:tr>
      <w:tr w:rsidR="00F26FAF" w:rsidRPr="00BE0341" w14:paraId="661B4AB0" w14:textId="77777777" w:rsidTr="00B3151A">
        <w:trPr>
          <w:trHeight w:val="118"/>
          <w:jc w:val="center"/>
        </w:trPr>
        <w:tc>
          <w:tcPr>
            <w:tcW w:w="1962"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22997B30"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Value added tax - VAT</w:t>
            </w:r>
          </w:p>
        </w:tc>
        <w:tc>
          <w:tcPr>
            <w:tcW w:w="6829"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751794CF" w14:textId="77777777" w:rsidR="00F26FAF" w:rsidRPr="00D71831"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General rate: 19%</w:t>
            </w:r>
          </w:p>
          <w:p w14:paraId="24B4C821" w14:textId="77777777" w:rsidR="00F26FAF" w:rsidRDefault="00F26FAF" w:rsidP="00B3151A">
            <w:pPr>
              <w:jc w:val="both"/>
              <w:rPr>
                <w:rFonts w:asciiTheme="minorHAnsi" w:hAnsiTheme="minorHAnsi" w:cstheme="minorHAnsi"/>
                <w:iCs/>
                <w:color w:val="000000"/>
                <w:lang w:val="en-US"/>
              </w:rPr>
            </w:pPr>
            <w:r w:rsidRPr="00D71831">
              <w:rPr>
                <w:rFonts w:asciiTheme="minorHAnsi" w:hAnsiTheme="minorHAnsi" w:cstheme="minorHAnsi"/>
                <w:iCs/>
                <w:color w:val="000000"/>
                <w:lang w:val="en-US"/>
              </w:rPr>
              <w:t>Special rates: 0% - 5%</w:t>
            </w:r>
          </w:p>
          <w:p w14:paraId="466E6870" w14:textId="77777777" w:rsidR="00F26FAF" w:rsidRDefault="00F26FAF" w:rsidP="00B3151A">
            <w:pPr>
              <w:jc w:val="both"/>
              <w:rPr>
                <w:rFonts w:asciiTheme="minorHAnsi" w:hAnsiTheme="minorHAnsi" w:cstheme="minorHAnsi"/>
                <w:iCs/>
                <w:color w:val="000000"/>
                <w:lang w:val="en-US"/>
              </w:rPr>
            </w:pPr>
            <w:r w:rsidRPr="000D6836">
              <w:rPr>
                <w:rFonts w:asciiTheme="minorHAnsi" w:hAnsiTheme="minorHAnsi" w:cstheme="minorHAnsi"/>
                <w:iCs/>
                <w:color w:val="000000"/>
                <w:lang w:val="en-US"/>
              </w:rPr>
              <w:t>On imports from free trade zones, the VAT will apply to the total amount of the product for customs purposes, plus the customs duties</w:t>
            </w:r>
            <w:r>
              <w:rPr>
                <w:rFonts w:asciiTheme="minorHAnsi" w:hAnsiTheme="minorHAnsi" w:cstheme="minorHAnsi"/>
                <w:iCs/>
                <w:color w:val="000000"/>
                <w:lang w:val="en-US"/>
              </w:rPr>
              <w:t>.</w:t>
            </w:r>
          </w:p>
          <w:p w14:paraId="14A97159" w14:textId="77777777" w:rsidR="00F26FAF" w:rsidRDefault="00F26FAF" w:rsidP="00B3151A">
            <w:pPr>
              <w:jc w:val="both"/>
              <w:rPr>
                <w:rFonts w:asciiTheme="minorHAnsi" w:hAnsiTheme="minorHAnsi" w:cstheme="minorHAnsi"/>
                <w:iCs/>
                <w:color w:val="000000"/>
                <w:lang w:val="en-US"/>
              </w:rPr>
            </w:pPr>
            <w:r w:rsidRPr="000D6836">
              <w:rPr>
                <w:rFonts w:asciiTheme="minorHAnsi" w:hAnsiTheme="minorHAnsi" w:cstheme="minorHAnsi"/>
                <w:iCs/>
                <w:color w:val="000000"/>
                <w:lang w:val="en-US"/>
              </w:rPr>
              <w:t>Soda and beer are subject to VAT in all phases of the production and supply chain</w:t>
            </w:r>
            <w:r>
              <w:rPr>
                <w:rFonts w:asciiTheme="minorHAnsi" w:hAnsiTheme="minorHAnsi" w:cstheme="minorHAnsi"/>
                <w:iCs/>
                <w:color w:val="000000"/>
                <w:lang w:val="en-US"/>
              </w:rPr>
              <w:t>.</w:t>
            </w:r>
          </w:p>
          <w:p w14:paraId="436E22F2" w14:textId="77777777" w:rsidR="00F26FAF" w:rsidRPr="00B14A49" w:rsidRDefault="00F26FAF" w:rsidP="00B3151A">
            <w:pPr>
              <w:jc w:val="both"/>
              <w:rPr>
                <w:rFonts w:asciiTheme="minorHAnsi" w:hAnsiTheme="minorHAnsi" w:cstheme="minorHAnsi"/>
                <w:iCs/>
                <w:color w:val="000000"/>
                <w:lang w:val="en-US"/>
              </w:rPr>
            </w:pPr>
            <w:r>
              <w:rPr>
                <w:rFonts w:asciiTheme="minorHAnsi" w:hAnsiTheme="minorHAnsi" w:cstheme="minorHAnsi"/>
                <w:iCs/>
                <w:color w:val="000000"/>
                <w:lang w:val="en-US"/>
              </w:rPr>
              <w:t>F</w:t>
            </w:r>
            <w:r w:rsidRPr="00B14A49">
              <w:rPr>
                <w:rFonts w:asciiTheme="minorHAnsi" w:hAnsiTheme="minorHAnsi" w:cstheme="minorHAnsi"/>
                <w:iCs/>
                <w:color w:val="000000"/>
                <w:lang w:val="en-US"/>
              </w:rPr>
              <w:t>oreign services providers of digital services to opt into a VAT withholding tax collection system through debit and credit card issuers.</w:t>
            </w:r>
          </w:p>
          <w:p w14:paraId="733F7FEB" w14:textId="77777777" w:rsidR="00F26FAF" w:rsidRPr="00D71831" w:rsidRDefault="00F26FAF" w:rsidP="00B3151A">
            <w:pPr>
              <w:jc w:val="both"/>
              <w:rPr>
                <w:rFonts w:asciiTheme="minorHAnsi" w:hAnsiTheme="minorHAnsi" w:cstheme="minorHAnsi"/>
                <w:iCs/>
                <w:color w:val="000000"/>
                <w:lang w:val="en-US"/>
              </w:rPr>
            </w:pPr>
          </w:p>
        </w:tc>
      </w:tr>
    </w:tbl>
    <w:p w14:paraId="400D2691" w14:textId="77777777" w:rsidR="00F26FAF" w:rsidRPr="000D6836" w:rsidRDefault="00F26FAF" w:rsidP="00CE78AC">
      <w:pPr>
        <w:pStyle w:val="ListParagraph"/>
        <w:numPr>
          <w:ilvl w:val="0"/>
          <w:numId w:val="21"/>
        </w:numPr>
        <w:rPr>
          <w:rFonts w:asciiTheme="minorHAnsi" w:hAnsiTheme="minorHAnsi" w:cstheme="minorHAnsi"/>
          <w:lang w:val="en-US"/>
        </w:rPr>
      </w:pPr>
      <w:r w:rsidRPr="000D6836">
        <w:rPr>
          <w:rFonts w:asciiTheme="minorHAnsi" w:hAnsiTheme="minorHAnsi" w:cstheme="minorHAnsi"/>
          <w:lang w:val="en-US"/>
        </w:rPr>
        <w:br w:type="page"/>
      </w:r>
    </w:p>
    <w:tbl>
      <w:tblPr>
        <w:tblW w:w="8791" w:type="dxa"/>
        <w:jc w:val="center"/>
        <w:tblCellMar>
          <w:left w:w="0" w:type="dxa"/>
          <w:right w:w="0" w:type="dxa"/>
        </w:tblCellMar>
        <w:tblLook w:val="04A0" w:firstRow="1" w:lastRow="0" w:firstColumn="1" w:lastColumn="0" w:noHBand="0" w:noVBand="1"/>
      </w:tblPr>
      <w:tblGrid>
        <w:gridCol w:w="4181"/>
        <w:gridCol w:w="4610"/>
      </w:tblGrid>
      <w:tr w:rsidR="00F26FAF" w:rsidRPr="006C5769" w14:paraId="6BAC72C3" w14:textId="77777777" w:rsidTr="00B3151A">
        <w:trPr>
          <w:trHeight w:val="118"/>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538D6057"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lastRenderedPageBreak/>
              <w:t>Consumption</w:t>
            </w:r>
            <w:r w:rsidRPr="006C5769">
              <w:rPr>
                <w:rFonts w:asciiTheme="minorHAnsi" w:hAnsiTheme="minorHAnsi" w:cstheme="minorHAnsi"/>
                <w:color w:val="000000"/>
                <w:lang w:val="en-US"/>
              </w:rPr>
              <w:t xml:space="preserve"> tax</w:t>
            </w:r>
            <w:r w:rsidRPr="006C5769">
              <w:rPr>
                <w:rFonts w:asciiTheme="minorHAnsi" w:hAnsiTheme="minorHAnsi" w:cstheme="minorHAnsi"/>
                <w:iCs/>
                <w:color w:val="000000"/>
                <w:lang w:val="en-US"/>
              </w:rPr>
              <w:t xml:space="preserve"> </w:t>
            </w:r>
          </w:p>
          <w:p w14:paraId="71B5D75F" w14:textId="77777777" w:rsidR="00F26FAF" w:rsidRPr="006C5769" w:rsidRDefault="00F26FAF" w:rsidP="00B3151A">
            <w:pPr>
              <w:jc w:val="both"/>
              <w:rPr>
                <w:rFonts w:asciiTheme="minorHAnsi" w:hAnsiTheme="minorHAnsi" w:cstheme="minorHAnsi"/>
                <w:color w:val="000000"/>
                <w:lang w:val="en-US"/>
              </w:rPr>
            </w:pP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68145BAF" w14:textId="77777777" w:rsidR="00F26FAF"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Levies the provision of mobile telephone services, internet and mobile navigation, and data service, t</w:t>
            </w:r>
            <w:r w:rsidRPr="006C5769">
              <w:rPr>
                <w:rFonts w:asciiTheme="minorHAnsi" w:hAnsiTheme="minorHAnsi" w:cstheme="minorHAnsi"/>
                <w:color w:val="000000"/>
                <w:lang w:val="en-US"/>
              </w:rPr>
              <w:t xml:space="preserve">he sale </w:t>
            </w:r>
            <w:r w:rsidRPr="006C5769">
              <w:rPr>
                <w:rFonts w:asciiTheme="minorHAnsi" w:hAnsiTheme="minorHAnsi" w:cstheme="minorHAnsi"/>
                <w:iCs/>
                <w:color w:val="000000"/>
                <w:lang w:val="en-US"/>
              </w:rPr>
              <w:t xml:space="preserve">and importation of vehicles, and </w:t>
            </w:r>
            <w:r w:rsidRPr="006C5769">
              <w:rPr>
                <w:rFonts w:asciiTheme="minorHAnsi" w:hAnsiTheme="minorHAnsi" w:cstheme="minorHAnsi"/>
                <w:color w:val="000000"/>
                <w:lang w:val="en-US"/>
              </w:rPr>
              <w:t xml:space="preserve">the </w:t>
            </w:r>
            <w:r w:rsidRPr="006C5769">
              <w:rPr>
                <w:rFonts w:asciiTheme="minorHAnsi" w:hAnsiTheme="minorHAnsi" w:cstheme="minorHAnsi"/>
                <w:iCs/>
                <w:color w:val="000000"/>
                <w:lang w:val="en-US"/>
              </w:rPr>
              <w:t>service of selling food and drinks prepared in restaurants, cafeterias, self-services, ice cream parlors, fruit shops, bakeries for consumption on the same spot, to be carried by the buyer or delivered at home, food services under contract, and service of selling food and alcoholic beverages for consumption in bars, taverns and nightclubs.</w:t>
            </w:r>
          </w:p>
          <w:p w14:paraId="700E324C"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Rates: 4%, 8% and 16%.</w:t>
            </w:r>
          </w:p>
        </w:tc>
      </w:tr>
      <w:tr w:rsidR="00F26FAF" w:rsidRPr="00BE0341" w14:paraId="17B91B1E" w14:textId="77777777" w:rsidTr="00B3151A">
        <w:trPr>
          <w:trHeight w:val="118"/>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51BB8512" w14:textId="77777777" w:rsidR="00F26FAF" w:rsidRPr="00B14A49" w:rsidRDefault="00F26FAF" w:rsidP="00B3151A">
            <w:pPr>
              <w:jc w:val="both"/>
              <w:rPr>
                <w:rFonts w:asciiTheme="minorHAnsi" w:hAnsiTheme="minorHAnsi" w:cstheme="minorHAnsi"/>
                <w:iCs/>
                <w:color w:val="000000"/>
                <w:lang w:val="en-US"/>
              </w:rPr>
            </w:pPr>
            <w:r w:rsidRPr="00B14A49">
              <w:rPr>
                <w:rFonts w:asciiTheme="minorHAnsi" w:hAnsiTheme="minorHAnsi" w:cstheme="minorHAnsi"/>
                <w:iCs/>
                <w:color w:val="000000"/>
                <w:lang w:val="en-US"/>
              </w:rPr>
              <w:t>Colombian holding company (CHC) regime.</w:t>
            </w: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21ECE27A" w14:textId="77777777" w:rsidR="00F26FAF" w:rsidRPr="006C5769" w:rsidRDefault="00F26FAF" w:rsidP="00B3151A">
            <w:pPr>
              <w:jc w:val="both"/>
              <w:rPr>
                <w:rFonts w:asciiTheme="minorHAnsi" w:hAnsiTheme="minorHAnsi" w:cstheme="minorHAnsi"/>
                <w:iCs/>
                <w:color w:val="000000"/>
                <w:lang w:val="en-US"/>
              </w:rPr>
            </w:pPr>
            <w:r w:rsidRPr="00B14A49">
              <w:rPr>
                <w:rFonts w:asciiTheme="minorHAnsi" w:hAnsiTheme="minorHAnsi" w:cstheme="minorHAnsi"/>
                <w:iCs/>
                <w:color w:val="000000"/>
                <w:lang w:val="en-US"/>
              </w:rPr>
              <w:t>Under this regime, dividends received from, and proceeds from the sale of, certain non-Colombian entities are not taxable in Colombia. In addition, for nonresident shareholders, dividends distributed by a CHC, and proceeds from the sale of a CHC’s shares (the proportion of the gain derived from foreign nonresident entities owned by the CHC), generally are not subject to tax in Colombia. If the CHC receives dividends from a Colombian subsidiary, the 7.5% dividend tax does not apply. The regime does not apply if the shareholder of the CHC is in a tax haven.</w:t>
            </w:r>
          </w:p>
        </w:tc>
      </w:tr>
      <w:tr w:rsidR="00F26FAF" w:rsidRPr="006C5769" w14:paraId="5D38BFBC" w14:textId="77777777" w:rsidTr="00B3151A">
        <w:trPr>
          <w:trHeight w:val="118"/>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33521B9A"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Green tax / Carbon national tax</w:t>
            </w: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6FF9A448"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Levy the sale, withdrawal, import for own consumption or importation for the sale of fossil fuels, (including all oil derivatives and all kind of fossil gas) that are used with energy purposes, provided that they are used for combustion.</w:t>
            </w:r>
          </w:p>
          <w:p w14:paraId="572046FB" w14:textId="77777777" w:rsidR="00F26FAF" w:rsidRPr="006C5769" w:rsidRDefault="00F26FAF" w:rsidP="00B3151A">
            <w:pPr>
              <w:jc w:val="both"/>
              <w:rPr>
                <w:rFonts w:asciiTheme="minorHAnsi" w:hAnsiTheme="minorHAnsi" w:cstheme="minorHAnsi"/>
                <w:color w:val="000000"/>
                <w:lang w:val="en-US"/>
              </w:rPr>
            </w:pPr>
          </w:p>
          <w:p w14:paraId="0C4FE986"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color w:val="000000"/>
                <w:lang w:val="en-US"/>
              </w:rPr>
              <w:t xml:space="preserve">The </w:t>
            </w:r>
            <w:r w:rsidRPr="006C5769">
              <w:rPr>
                <w:rFonts w:asciiTheme="minorHAnsi" w:hAnsiTheme="minorHAnsi" w:cstheme="minorHAnsi"/>
                <w:iCs/>
                <w:color w:val="000000"/>
                <w:lang w:val="en-US"/>
              </w:rPr>
              <w:t xml:space="preserve">rate is determined depending on the emission factor of carbon dioxide (CO2) for each given fuel, expressed in unit volume (kilogram of CO2) per unit of energy (Terajouls) according </w:t>
            </w:r>
            <w:r w:rsidRPr="006C5769">
              <w:rPr>
                <w:rFonts w:asciiTheme="minorHAnsi" w:hAnsiTheme="minorHAnsi" w:cstheme="minorHAnsi"/>
                <w:iCs/>
                <w:color w:val="000000"/>
                <w:lang w:val="en-US"/>
              </w:rPr>
              <w:lastRenderedPageBreak/>
              <w:t>to the volume or weight of the fuel:</w:t>
            </w:r>
          </w:p>
          <w:p w14:paraId="70BE6117" w14:textId="77777777" w:rsidR="00F26FAF" w:rsidRPr="006C5769" w:rsidRDefault="00F26FAF" w:rsidP="00B3151A">
            <w:pPr>
              <w:jc w:val="both"/>
              <w:rPr>
                <w:rFonts w:asciiTheme="minorHAnsi" w:hAnsiTheme="minorHAnsi" w:cstheme="minorHAnsi"/>
                <w:iCs/>
                <w:color w:val="000000"/>
                <w:lang w:val="en-US"/>
              </w:rPr>
            </w:pPr>
          </w:p>
          <w:tbl>
            <w:tblPr>
              <w:tblW w:w="0" w:type="auto"/>
              <w:tblCellMar>
                <w:left w:w="0" w:type="dxa"/>
                <w:right w:w="0" w:type="dxa"/>
              </w:tblCellMar>
              <w:tblLook w:val="04A0" w:firstRow="1" w:lastRow="0" w:firstColumn="1" w:lastColumn="0" w:noHBand="0" w:noVBand="1"/>
            </w:tblPr>
            <w:tblGrid>
              <w:gridCol w:w="1671"/>
              <w:gridCol w:w="1063"/>
              <w:gridCol w:w="1501"/>
            </w:tblGrid>
            <w:tr w:rsidR="00F26FAF" w:rsidRPr="006C5769" w14:paraId="05D57BD7" w14:textId="77777777" w:rsidTr="00B3151A">
              <w:trPr>
                <w:trHeight w:val="110"/>
              </w:trPr>
              <w:tc>
                <w:tcPr>
                  <w:tcW w:w="16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9F9E06" w14:textId="77777777" w:rsidR="00F26FAF" w:rsidRPr="006C5769" w:rsidRDefault="00F26FAF" w:rsidP="00B3151A">
                  <w:pPr>
                    <w:spacing w:line="110" w:lineRule="atLeast"/>
                    <w:jc w:val="center"/>
                    <w:rPr>
                      <w:rFonts w:asciiTheme="minorHAnsi" w:hAnsiTheme="minorHAnsi" w:cstheme="minorHAnsi"/>
                      <w:lang w:eastAsia="es-CO"/>
                    </w:rPr>
                  </w:pPr>
                  <w:r w:rsidRPr="006C5769">
                    <w:rPr>
                      <w:rFonts w:asciiTheme="minorHAnsi" w:hAnsiTheme="minorHAnsi" w:cstheme="minorHAnsi"/>
                      <w:color w:val="080808"/>
                      <w:lang w:eastAsia="es-CO"/>
                    </w:rPr>
                    <w:t>Fossil Fuel</w:t>
                  </w:r>
                </w:p>
              </w:tc>
              <w:tc>
                <w:tcPr>
                  <w:tcW w:w="10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7E30F5" w14:textId="77777777" w:rsidR="00F26FAF" w:rsidRPr="006C5769" w:rsidRDefault="00F26FAF" w:rsidP="00B3151A">
                  <w:pPr>
                    <w:spacing w:line="110" w:lineRule="atLeast"/>
                    <w:jc w:val="center"/>
                    <w:rPr>
                      <w:rFonts w:asciiTheme="minorHAnsi" w:hAnsiTheme="minorHAnsi" w:cstheme="minorHAnsi"/>
                      <w:lang w:eastAsia="es-CO"/>
                    </w:rPr>
                  </w:pPr>
                  <w:r w:rsidRPr="006C5769">
                    <w:rPr>
                      <w:rFonts w:asciiTheme="minorHAnsi" w:hAnsiTheme="minorHAnsi" w:cstheme="minorHAnsi"/>
                      <w:color w:val="080808"/>
                      <w:lang w:eastAsia="es-CO"/>
                    </w:rPr>
                    <w:t>Unit of measure</w:t>
                  </w:r>
                </w:p>
              </w:tc>
              <w:tc>
                <w:tcPr>
                  <w:tcW w:w="15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290C9C" w14:textId="77777777" w:rsidR="00F26FAF" w:rsidRPr="006C5769" w:rsidRDefault="00F26FAF" w:rsidP="00B3151A">
                  <w:pPr>
                    <w:spacing w:line="110" w:lineRule="atLeast"/>
                    <w:jc w:val="center"/>
                    <w:rPr>
                      <w:rFonts w:asciiTheme="minorHAnsi" w:hAnsiTheme="minorHAnsi" w:cstheme="minorHAnsi"/>
                      <w:lang w:eastAsia="es-CO"/>
                    </w:rPr>
                  </w:pPr>
                  <w:r w:rsidRPr="006C5769">
                    <w:rPr>
                      <w:rFonts w:asciiTheme="minorHAnsi" w:hAnsiTheme="minorHAnsi" w:cstheme="minorHAnsi"/>
                      <w:color w:val="080808"/>
                      <w:lang w:eastAsia="es-CO"/>
                    </w:rPr>
                    <w:t>Rate/unity</w:t>
                  </w:r>
                </w:p>
              </w:tc>
            </w:tr>
            <w:tr w:rsidR="00F26FAF" w:rsidRPr="006C5769" w14:paraId="75776548"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C9F4D"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Natural gas</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1B782FA8"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Cubic meter</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6CC8FBF9"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$29</w:t>
                  </w:r>
                </w:p>
              </w:tc>
            </w:tr>
            <w:tr w:rsidR="00F26FAF" w:rsidRPr="006C5769" w14:paraId="114B2A62"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7575AB"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Oil liquified gas</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352FD400"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Galon</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06E4C44B"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$95</w:t>
                  </w:r>
                </w:p>
              </w:tc>
            </w:tr>
            <w:tr w:rsidR="00F26FAF" w:rsidRPr="006C5769" w14:paraId="3A833D21"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A5A51E"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Gasoline</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6CBC31DF"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Galon</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0AD22287"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$135</w:t>
                  </w:r>
                </w:p>
              </w:tc>
            </w:tr>
            <w:tr w:rsidR="00F26FAF" w:rsidRPr="006C5769" w14:paraId="13502632"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CCFBA5"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Kerosene and Jet Fuel</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6DDECEEB"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Galon</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17B4EF61"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$148</w:t>
                  </w:r>
                </w:p>
              </w:tc>
            </w:tr>
            <w:tr w:rsidR="00F26FAF" w:rsidRPr="006C5769" w14:paraId="59E026CC"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60A5C"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Diesel</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225815C2"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Galon</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28477F02"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$152</w:t>
                  </w:r>
                </w:p>
              </w:tc>
            </w:tr>
            <w:tr w:rsidR="00F26FAF" w:rsidRPr="006C5769" w14:paraId="4D2359DD" w14:textId="77777777" w:rsidTr="00B3151A">
              <w:trPr>
                <w:trHeight w:val="107"/>
              </w:trPr>
              <w:tc>
                <w:tcPr>
                  <w:tcW w:w="16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3D4D5C"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Fuel Oil</w:t>
                  </w:r>
                </w:p>
              </w:tc>
              <w:tc>
                <w:tcPr>
                  <w:tcW w:w="1063" w:type="dxa"/>
                  <w:tcBorders>
                    <w:top w:val="nil"/>
                    <w:left w:val="nil"/>
                    <w:bottom w:val="single" w:sz="8" w:space="0" w:color="auto"/>
                    <w:right w:val="single" w:sz="8" w:space="0" w:color="auto"/>
                  </w:tcBorders>
                  <w:tcMar>
                    <w:top w:w="0" w:type="dxa"/>
                    <w:left w:w="108" w:type="dxa"/>
                    <w:bottom w:w="0" w:type="dxa"/>
                    <w:right w:w="108" w:type="dxa"/>
                  </w:tcMar>
                  <w:hideMark/>
                </w:tcPr>
                <w:p w14:paraId="55CD6F74"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Galon</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45399559" w14:textId="77777777" w:rsidR="00F26FAF" w:rsidRPr="006C5769" w:rsidRDefault="00F26FAF" w:rsidP="00B3151A">
                  <w:pPr>
                    <w:spacing w:line="107" w:lineRule="atLeast"/>
                    <w:rPr>
                      <w:rFonts w:asciiTheme="minorHAnsi" w:hAnsiTheme="minorHAnsi" w:cstheme="minorHAnsi"/>
                      <w:lang w:eastAsia="es-CO"/>
                    </w:rPr>
                  </w:pPr>
                  <w:r w:rsidRPr="006C5769">
                    <w:rPr>
                      <w:rFonts w:asciiTheme="minorHAnsi" w:hAnsiTheme="minorHAnsi" w:cstheme="minorHAnsi"/>
                      <w:color w:val="080808"/>
                      <w:lang w:eastAsia="es-CO"/>
                    </w:rPr>
                    <w:t>$177</w:t>
                  </w:r>
                </w:p>
              </w:tc>
            </w:tr>
          </w:tbl>
          <w:p w14:paraId="603B47A7" w14:textId="77777777" w:rsidR="00F26FAF" w:rsidRPr="006C5769" w:rsidRDefault="00F26FAF" w:rsidP="00B3151A">
            <w:pPr>
              <w:jc w:val="both"/>
              <w:rPr>
                <w:rFonts w:asciiTheme="minorHAnsi" w:hAnsiTheme="minorHAnsi" w:cstheme="minorHAnsi"/>
                <w:iCs/>
                <w:color w:val="000000"/>
                <w:lang w:val="en-US"/>
              </w:rPr>
            </w:pPr>
          </w:p>
        </w:tc>
      </w:tr>
      <w:tr w:rsidR="00F26FAF" w:rsidRPr="006C5769" w14:paraId="2C33DE6D" w14:textId="77777777" w:rsidTr="00B3151A">
        <w:trPr>
          <w:trHeight w:val="118"/>
          <w:jc w:val="center"/>
        </w:trPr>
        <w:tc>
          <w:tcPr>
            <w:tcW w:w="8791" w:type="dxa"/>
            <w:gridSpan w:val="2"/>
            <w:tcBorders>
              <w:top w:val="single" w:sz="8" w:space="0" w:color="646464"/>
              <w:left w:val="single" w:sz="18" w:space="0" w:color="646464"/>
              <w:bottom w:val="single" w:sz="8" w:space="0" w:color="646464"/>
              <w:right w:val="single" w:sz="18" w:space="0" w:color="646464"/>
            </w:tcBorders>
            <w:shd w:val="clear" w:color="auto" w:fill="1F497D" w:themeFill="text2"/>
            <w:tcMar>
              <w:top w:w="72" w:type="dxa"/>
              <w:left w:w="144" w:type="dxa"/>
              <w:bottom w:w="72" w:type="dxa"/>
              <w:right w:w="144" w:type="dxa"/>
            </w:tcMar>
          </w:tcPr>
          <w:p w14:paraId="652088FA" w14:textId="77777777" w:rsidR="00F26FAF" w:rsidRPr="006C5769" w:rsidRDefault="00F26FAF" w:rsidP="00B3151A">
            <w:pPr>
              <w:jc w:val="center"/>
              <w:rPr>
                <w:rFonts w:asciiTheme="minorHAnsi" w:hAnsiTheme="minorHAnsi" w:cstheme="minorHAnsi"/>
                <w:b/>
                <w:iCs/>
                <w:color w:val="000000"/>
                <w:lang w:val="en-US"/>
              </w:rPr>
            </w:pPr>
            <w:r w:rsidRPr="006B3CA7">
              <w:rPr>
                <w:rFonts w:asciiTheme="minorHAnsi" w:hAnsiTheme="minorHAnsi" w:cstheme="minorHAnsi"/>
                <w:b/>
                <w:iCs/>
                <w:color w:val="FFFFFF" w:themeColor="background1"/>
                <w:lang w:val="en-US"/>
              </w:rPr>
              <w:lastRenderedPageBreak/>
              <w:t>LOCAL TAXES</w:t>
            </w:r>
          </w:p>
        </w:tc>
      </w:tr>
      <w:tr w:rsidR="00F26FAF" w:rsidRPr="00BE0341" w14:paraId="1C86EB84" w14:textId="77777777" w:rsidTr="00B3151A">
        <w:trPr>
          <w:trHeight w:val="818"/>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5CE8BBE2"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Industry and commerce tax (ICA)</w:t>
            </w: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677CC775"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It is triggered by the development of industrial, service or commercial activities within a municipality or district.</w:t>
            </w:r>
          </w:p>
          <w:p w14:paraId="38FCC519"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Applicable rate to the revenues of the company will depend on the municipality in which it develops its operations, which may vary between:</w:t>
            </w:r>
          </w:p>
          <w:p w14:paraId="542211A5" w14:textId="77777777" w:rsidR="00F26FAF" w:rsidRPr="005017FA" w:rsidRDefault="00F26FAF" w:rsidP="00CE78AC">
            <w:pPr>
              <w:pStyle w:val="ListParagraph"/>
              <w:numPr>
                <w:ilvl w:val="0"/>
                <w:numId w:val="22"/>
              </w:numPr>
              <w:jc w:val="both"/>
              <w:rPr>
                <w:rFonts w:asciiTheme="minorHAnsi" w:hAnsiTheme="minorHAnsi" w:cstheme="minorHAnsi"/>
                <w:iCs/>
                <w:color w:val="000000"/>
                <w:lang w:val="en-US"/>
              </w:rPr>
            </w:pPr>
            <w:r w:rsidRPr="005017FA">
              <w:rPr>
                <w:rFonts w:asciiTheme="minorHAnsi" w:hAnsiTheme="minorHAnsi" w:cstheme="minorHAnsi"/>
                <w:iCs/>
                <w:color w:val="000000"/>
                <w:lang w:val="en-US"/>
              </w:rPr>
              <w:t>Industrial activities, is 0.2% to 0.7%.</w:t>
            </w:r>
          </w:p>
          <w:p w14:paraId="3A0BBE4F" w14:textId="77777777" w:rsidR="00F26FAF" w:rsidRPr="005017FA" w:rsidRDefault="00F26FAF" w:rsidP="00CE78AC">
            <w:pPr>
              <w:pStyle w:val="ListParagraph"/>
              <w:numPr>
                <w:ilvl w:val="0"/>
                <w:numId w:val="22"/>
              </w:numPr>
              <w:jc w:val="both"/>
              <w:rPr>
                <w:rFonts w:asciiTheme="minorHAnsi" w:hAnsiTheme="minorHAnsi" w:cstheme="minorHAnsi"/>
                <w:iCs/>
                <w:color w:val="000000"/>
                <w:lang w:val="en-US"/>
              </w:rPr>
            </w:pPr>
            <w:r w:rsidRPr="005017FA">
              <w:rPr>
                <w:rFonts w:asciiTheme="minorHAnsi" w:hAnsiTheme="minorHAnsi" w:cstheme="minorHAnsi"/>
                <w:iCs/>
                <w:color w:val="000000"/>
                <w:lang w:val="en-US"/>
              </w:rPr>
              <w:t>Commercial and service activities, is 0.2% to 1%.</w:t>
            </w:r>
          </w:p>
          <w:p w14:paraId="6F90AE98" w14:textId="77777777" w:rsidR="00F26FAF" w:rsidRPr="006C5769" w:rsidRDefault="00F26FAF" w:rsidP="00B3151A">
            <w:pPr>
              <w:jc w:val="both"/>
              <w:rPr>
                <w:rFonts w:asciiTheme="minorHAnsi" w:hAnsiTheme="minorHAnsi" w:cstheme="minorHAnsi"/>
                <w:iCs/>
                <w:color w:val="000000"/>
                <w:lang w:val="en-US"/>
              </w:rPr>
            </w:pPr>
            <w:r>
              <w:rPr>
                <w:rFonts w:asciiTheme="minorHAnsi" w:hAnsiTheme="minorHAnsi" w:cstheme="minorHAnsi"/>
                <w:iCs/>
                <w:color w:val="000000"/>
                <w:lang w:val="en-US"/>
              </w:rPr>
              <w:t>T</w:t>
            </w:r>
            <w:r w:rsidRPr="00807B9A">
              <w:rPr>
                <w:rFonts w:asciiTheme="minorHAnsi" w:hAnsiTheme="minorHAnsi" w:cstheme="minorHAnsi"/>
                <w:iCs/>
                <w:color w:val="000000"/>
                <w:lang w:val="en-US"/>
              </w:rPr>
              <w:t>he Tax Reform allows taxpayers to claim 50% (100% from 2022) of paid industry and commerce and debit (i.e., financial transaction tax) taxes as a credit against their income tax liability.</w:t>
            </w:r>
          </w:p>
        </w:tc>
      </w:tr>
      <w:tr w:rsidR="00F26FAF" w:rsidRPr="00BE0341" w14:paraId="0DDC566D" w14:textId="77777777" w:rsidTr="00B3151A">
        <w:trPr>
          <w:trHeight w:val="818"/>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7F05E8D0"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lastRenderedPageBreak/>
              <w:t>Real estate tax</w:t>
            </w: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20C166CE" w14:textId="77777777" w:rsidR="00F26FAF"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From 0.5% to 1.6% of the value of the property, depending on the municipality in which the property is located.</w:t>
            </w:r>
          </w:p>
          <w:p w14:paraId="3691AE66" w14:textId="77777777" w:rsidR="00F26FAF" w:rsidRPr="006C5769" w:rsidRDefault="00F26FAF" w:rsidP="00B3151A">
            <w:pPr>
              <w:jc w:val="both"/>
              <w:rPr>
                <w:rFonts w:asciiTheme="minorHAnsi" w:hAnsiTheme="minorHAnsi" w:cstheme="minorHAnsi"/>
                <w:iCs/>
                <w:color w:val="000000"/>
                <w:lang w:val="en-US"/>
              </w:rPr>
            </w:pPr>
            <w:r w:rsidRPr="005017FA">
              <w:rPr>
                <w:rFonts w:asciiTheme="minorHAnsi" w:hAnsiTheme="minorHAnsi" w:cstheme="minorHAnsi"/>
                <w:iCs/>
                <w:color w:val="000000"/>
                <w:lang w:val="en-US"/>
              </w:rPr>
              <w:t>National tax on the consumption of real estate 2% rate on the total sale price (applied on for assets value more than $USD 306.145 approx.).</w:t>
            </w:r>
          </w:p>
        </w:tc>
      </w:tr>
      <w:tr w:rsidR="00F26FAF" w:rsidRPr="00BE0341" w14:paraId="54D68961" w14:textId="77777777" w:rsidTr="00B3151A">
        <w:trPr>
          <w:trHeight w:val="579"/>
          <w:jc w:val="center"/>
        </w:trPr>
        <w:tc>
          <w:tcPr>
            <w:tcW w:w="4181" w:type="dxa"/>
            <w:tcBorders>
              <w:top w:val="single" w:sz="8" w:space="0" w:color="646464"/>
              <w:left w:val="single" w:sz="18" w:space="0" w:color="646464"/>
              <w:bottom w:val="single" w:sz="8" w:space="0" w:color="646464"/>
              <w:right w:val="single" w:sz="8" w:space="0" w:color="646464"/>
            </w:tcBorders>
            <w:shd w:val="clear" w:color="auto" w:fill="auto"/>
            <w:tcMar>
              <w:top w:w="72" w:type="dxa"/>
              <w:left w:w="144" w:type="dxa"/>
              <w:bottom w:w="72" w:type="dxa"/>
              <w:right w:w="144" w:type="dxa"/>
            </w:tcMar>
          </w:tcPr>
          <w:p w14:paraId="58EC3F21"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Registration tax</w:t>
            </w:r>
          </w:p>
        </w:tc>
        <w:tc>
          <w:tcPr>
            <w:tcW w:w="4610" w:type="dxa"/>
            <w:tcBorders>
              <w:top w:val="single" w:sz="8" w:space="0" w:color="646464"/>
              <w:left w:val="single" w:sz="8" w:space="0" w:color="646464"/>
              <w:bottom w:val="single" w:sz="8" w:space="0" w:color="646464"/>
              <w:right w:val="single" w:sz="18" w:space="0" w:color="646464"/>
            </w:tcBorders>
            <w:shd w:val="clear" w:color="auto" w:fill="auto"/>
            <w:tcMar>
              <w:top w:w="72" w:type="dxa"/>
              <w:left w:w="144" w:type="dxa"/>
              <w:bottom w:w="72" w:type="dxa"/>
              <w:right w:w="144" w:type="dxa"/>
            </w:tcMar>
          </w:tcPr>
          <w:p w14:paraId="7A3EC348" w14:textId="77777777" w:rsidR="00F26FAF" w:rsidRPr="006C5769" w:rsidRDefault="00F26FAF" w:rsidP="00B3151A">
            <w:pPr>
              <w:jc w:val="both"/>
              <w:rPr>
                <w:rFonts w:asciiTheme="minorHAnsi" w:hAnsiTheme="minorHAnsi" w:cstheme="minorHAnsi"/>
                <w:iCs/>
                <w:color w:val="000000"/>
                <w:lang w:val="en-US"/>
              </w:rPr>
            </w:pPr>
            <w:r w:rsidRPr="006C5769">
              <w:rPr>
                <w:rFonts w:asciiTheme="minorHAnsi" w:hAnsiTheme="minorHAnsi" w:cstheme="minorHAnsi"/>
                <w:iCs/>
                <w:color w:val="000000"/>
                <w:lang w:val="en-US"/>
              </w:rPr>
              <w:t>According to the act, between 0.1% and 1%.</w:t>
            </w:r>
          </w:p>
        </w:tc>
      </w:tr>
    </w:tbl>
    <w:p w14:paraId="4561418E" w14:textId="77777777" w:rsidR="00F26FAF" w:rsidRPr="003F5734" w:rsidRDefault="00F26FAF" w:rsidP="003F5734">
      <w:pPr>
        <w:rPr>
          <w:lang w:val="en-US" w:eastAsia="es-ES"/>
        </w:rPr>
      </w:pPr>
    </w:p>
    <w:p w14:paraId="3F1CACF8" w14:textId="77777777" w:rsidR="004A230F" w:rsidRPr="004A230F" w:rsidRDefault="004A230F" w:rsidP="004A230F">
      <w:pPr>
        <w:spacing w:after="0"/>
        <w:jc w:val="center"/>
        <w:textAlignment w:val="top"/>
        <w:rPr>
          <w:rFonts w:cstheme="minorHAnsi"/>
          <w:color w:val="808080" w:themeColor="background1" w:themeShade="80"/>
          <w:lang w:val="en-US"/>
        </w:rPr>
      </w:pPr>
      <w:r w:rsidRPr="004A230F">
        <w:rPr>
          <w:rFonts w:cstheme="minorHAnsi"/>
          <w:color w:val="808080" w:themeColor="background1" w:themeShade="80"/>
          <w:lang w:val="en-US"/>
        </w:rPr>
        <w:t>Foreign Direct Investment</w:t>
      </w:r>
    </w:p>
    <w:p w14:paraId="4A246B67" w14:textId="77777777" w:rsidR="004A230F" w:rsidRPr="004A230F" w:rsidRDefault="004A23B3" w:rsidP="004A230F">
      <w:pPr>
        <w:spacing w:after="0"/>
        <w:jc w:val="center"/>
        <w:textAlignment w:val="top"/>
        <w:rPr>
          <w:lang w:val="en-US"/>
        </w:rPr>
      </w:pPr>
      <w:hyperlink r:id="rId10" w:history="1">
        <w:r w:rsidR="004A230F" w:rsidRPr="004A230F">
          <w:rPr>
            <w:rStyle w:val="Hyperlink"/>
            <w:lang w:val="en-US"/>
          </w:rPr>
          <w:t>www.inviertaencolombia.com.co</w:t>
        </w:r>
      </w:hyperlink>
    </w:p>
    <w:p w14:paraId="723928EE" w14:textId="77777777" w:rsidR="004A230F" w:rsidRPr="004A230F" w:rsidRDefault="004A23B3" w:rsidP="004A230F">
      <w:pPr>
        <w:spacing w:after="0"/>
        <w:jc w:val="center"/>
        <w:textAlignment w:val="top"/>
        <w:rPr>
          <w:rFonts w:cstheme="minorHAnsi"/>
          <w:color w:val="000000"/>
          <w:lang w:val="en-US"/>
        </w:rPr>
      </w:pPr>
      <w:hyperlink r:id="rId11" w:history="1">
        <w:r w:rsidR="004A230F" w:rsidRPr="004A230F">
          <w:rPr>
            <w:rStyle w:val="Hyperlink"/>
            <w:rFonts w:cstheme="minorHAnsi"/>
            <w:lang w:val="en-US"/>
          </w:rPr>
          <w:t>www.procolombia.co</w:t>
        </w:r>
      </w:hyperlink>
    </w:p>
    <w:p w14:paraId="15E41C7D" w14:textId="77777777" w:rsidR="00B15520" w:rsidRPr="004A230F" w:rsidRDefault="00B15520" w:rsidP="00B15520">
      <w:pPr>
        <w:spacing w:after="0"/>
        <w:jc w:val="center"/>
        <w:textAlignment w:val="top"/>
        <w:rPr>
          <w:rFonts w:cstheme="minorHAnsi"/>
          <w:color w:val="000000"/>
          <w:lang w:val="en-US"/>
        </w:rPr>
      </w:pPr>
    </w:p>
    <w:p w14:paraId="6B259BC8" w14:textId="77777777" w:rsidR="00B15520" w:rsidRPr="004A230F" w:rsidRDefault="00B15520" w:rsidP="00B15520">
      <w:pPr>
        <w:spacing w:after="0"/>
        <w:jc w:val="center"/>
        <w:textAlignment w:val="top"/>
        <w:rPr>
          <w:rFonts w:cstheme="minorHAnsi"/>
          <w:color w:val="000000"/>
          <w:lang w:val="en-US"/>
        </w:rPr>
      </w:pPr>
    </w:p>
    <w:p w14:paraId="1CD64696" w14:textId="77777777" w:rsidR="00B15520" w:rsidRPr="004A230F" w:rsidRDefault="00B15520" w:rsidP="00B15520">
      <w:pPr>
        <w:spacing w:after="0"/>
        <w:jc w:val="center"/>
        <w:textAlignment w:val="top"/>
        <w:rPr>
          <w:rFonts w:cstheme="minorHAnsi"/>
          <w:color w:val="000000"/>
          <w:lang w:val="en-US"/>
        </w:rPr>
      </w:pPr>
    </w:p>
    <w:p w14:paraId="635EB6F1" w14:textId="77777777" w:rsidR="00B15520" w:rsidRPr="004A230F" w:rsidRDefault="00B15520" w:rsidP="00B15520">
      <w:pPr>
        <w:spacing w:after="0"/>
        <w:jc w:val="center"/>
        <w:textAlignment w:val="top"/>
        <w:rPr>
          <w:rFonts w:cstheme="minorHAnsi"/>
          <w:color w:val="000000"/>
          <w:lang w:val="en-US"/>
        </w:rPr>
      </w:pPr>
    </w:p>
    <w:p w14:paraId="439D1C35" w14:textId="77777777" w:rsidR="00B15520" w:rsidRPr="004A230F" w:rsidRDefault="00B15520" w:rsidP="00B15520">
      <w:pPr>
        <w:spacing w:after="0"/>
        <w:jc w:val="center"/>
        <w:textAlignment w:val="top"/>
        <w:rPr>
          <w:rFonts w:cstheme="minorHAnsi"/>
          <w:color w:val="000000"/>
          <w:lang w:val="en-US"/>
        </w:rPr>
      </w:pPr>
    </w:p>
    <w:p w14:paraId="7D50033A" w14:textId="77777777" w:rsidR="00B15520" w:rsidRPr="004A230F" w:rsidRDefault="00B15520" w:rsidP="00B15520">
      <w:pPr>
        <w:spacing w:after="0"/>
        <w:jc w:val="center"/>
        <w:textAlignment w:val="top"/>
        <w:rPr>
          <w:rFonts w:cstheme="minorHAnsi"/>
          <w:color w:val="000000"/>
          <w:lang w:val="en-US"/>
        </w:rPr>
      </w:pPr>
    </w:p>
    <w:p w14:paraId="0198D072" w14:textId="77777777" w:rsidR="00B15520" w:rsidRPr="004A230F" w:rsidRDefault="00B15520" w:rsidP="00B15520">
      <w:pPr>
        <w:spacing w:after="0"/>
        <w:jc w:val="center"/>
        <w:textAlignment w:val="top"/>
        <w:rPr>
          <w:rFonts w:cstheme="minorHAnsi"/>
          <w:color w:val="000000"/>
          <w:lang w:val="en-US"/>
        </w:rPr>
      </w:pPr>
    </w:p>
    <w:p w14:paraId="5E814901" w14:textId="77777777" w:rsidR="00B15520" w:rsidRPr="004A230F" w:rsidRDefault="00B15520" w:rsidP="00B15520">
      <w:pPr>
        <w:spacing w:after="0"/>
        <w:jc w:val="center"/>
        <w:textAlignment w:val="top"/>
        <w:rPr>
          <w:rFonts w:cstheme="minorHAnsi"/>
          <w:color w:val="000000"/>
          <w:lang w:val="en-US"/>
        </w:rPr>
      </w:pPr>
    </w:p>
    <w:p w14:paraId="20DA8FEC" w14:textId="77777777" w:rsidR="00B15520" w:rsidRPr="004A230F" w:rsidRDefault="00B15520" w:rsidP="00B15520">
      <w:pPr>
        <w:spacing w:after="0"/>
        <w:jc w:val="center"/>
        <w:textAlignment w:val="top"/>
        <w:rPr>
          <w:rFonts w:cstheme="minorHAnsi"/>
          <w:color w:val="000000"/>
          <w:lang w:val="en-US"/>
        </w:rPr>
      </w:pPr>
    </w:p>
    <w:p w14:paraId="7BD00688" w14:textId="77777777" w:rsidR="004A230F" w:rsidRPr="004A230F" w:rsidRDefault="00A33FE7" w:rsidP="00A33FE7">
      <w:pPr>
        <w:jc w:val="both"/>
        <w:rPr>
          <w:rFonts w:cstheme="minorHAnsi"/>
          <w:color w:val="808080" w:themeColor="background1" w:themeShade="80"/>
          <w:lang w:val="en-US"/>
        </w:rPr>
      </w:pPr>
      <w:r w:rsidRPr="00A33FE7">
        <w:rPr>
          <w:i/>
          <w:iCs/>
          <w:color w:val="808080" w:themeColor="background1" w:themeShade="80"/>
          <w:lang w:val="en-US"/>
        </w:rPr>
        <w:t xml:space="preserve">The information in this document serves as orientation and general guidance. ProColombia nor its employees are liable for decisions or actions taken in relation to the provided commercial information. The information provided should be taken for reference purposes only. The legal information contained in this document reflects the applicable legislation at the date of preparation and is intended to provide a general and basic information guide about the applicable law. Therefore, this document is not intended to constitute or serve as a substitute or replacement for specific legal advice regarding any specific or particular issue. If specific legal advice is required, it must be obtained through direct consultation to specialized legal services. For this purpose we suggest you contact one of the firms contained in the Legal Services Directory found in ProColombia´s website </w:t>
      </w:r>
      <w:hyperlink r:id="rId12" w:history="1">
        <w:r w:rsidRPr="00A33FE7">
          <w:rPr>
            <w:rStyle w:val="Hyperlink"/>
            <w:i/>
            <w:iCs/>
            <w:color w:val="808080" w:themeColor="background1" w:themeShade="80"/>
            <w:lang w:val="en-US"/>
          </w:rPr>
          <w:t>www.procolombia.co</w:t>
        </w:r>
      </w:hyperlink>
    </w:p>
    <w:sectPr w:rsidR="004A230F" w:rsidRPr="004A230F" w:rsidSect="006E1471">
      <w:headerReference w:type="default" r:id="rId13"/>
      <w:footerReference w:type="default" r:id="rId14"/>
      <w:pgSz w:w="12240" w:h="15840"/>
      <w:pgMar w:top="1701" w:right="1701" w:bottom="1417"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F8597" w14:textId="77777777" w:rsidR="00430AA1" w:rsidRDefault="00430AA1" w:rsidP="00347967">
      <w:pPr>
        <w:spacing w:after="0" w:line="240" w:lineRule="auto"/>
      </w:pPr>
      <w:r>
        <w:separator/>
      </w:r>
    </w:p>
  </w:endnote>
  <w:endnote w:type="continuationSeparator" w:id="0">
    <w:p w14:paraId="5E11B381" w14:textId="77777777" w:rsidR="00430AA1" w:rsidRDefault="00430AA1" w:rsidP="00347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B1DAF" w14:textId="77777777" w:rsidR="00B65E33" w:rsidRDefault="00B65E33" w:rsidP="00251D4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1D462" w14:textId="77777777" w:rsidR="00430AA1" w:rsidRDefault="00430AA1" w:rsidP="00347967">
      <w:pPr>
        <w:spacing w:after="0" w:line="240" w:lineRule="auto"/>
      </w:pPr>
      <w:r>
        <w:separator/>
      </w:r>
    </w:p>
  </w:footnote>
  <w:footnote w:type="continuationSeparator" w:id="0">
    <w:p w14:paraId="4E7BCD43" w14:textId="77777777" w:rsidR="00430AA1" w:rsidRDefault="00430AA1" w:rsidP="00347967">
      <w:pPr>
        <w:spacing w:after="0" w:line="240" w:lineRule="auto"/>
      </w:pPr>
      <w:r>
        <w:continuationSeparator/>
      </w:r>
    </w:p>
  </w:footnote>
  <w:footnote w:id="1">
    <w:p w14:paraId="3856192F" w14:textId="77777777" w:rsidR="006E1471" w:rsidRDefault="003F5734"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cs="Arial"/>
          <w:sz w:val="18"/>
          <w:szCs w:val="18"/>
          <w:lang w:val="en-US"/>
        </w:rPr>
      </w:pPr>
      <w:r>
        <w:rPr>
          <w:rStyle w:val="FootnoteReference"/>
          <w:rFonts w:cs="Arial"/>
          <w:sz w:val="18"/>
          <w:szCs w:val="18"/>
        </w:rPr>
        <w:footnoteRef/>
      </w:r>
      <w:r>
        <w:rPr>
          <w:rFonts w:cs="Arial"/>
          <w:sz w:val="18"/>
          <w:szCs w:val="18"/>
          <w:lang w:val="en-US"/>
        </w:rPr>
        <w:t xml:space="preserve">  Free Trade Zones are</w:t>
      </w:r>
    </w:p>
    <w:p w14:paraId="5A10E814" w14:textId="77777777" w:rsidR="006E1471" w:rsidRDefault="006E1471"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cs="Arial"/>
          <w:sz w:val="18"/>
          <w:szCs w:val="18"/>
          <w:lang w:val="en-US"/>
        </w:rPr>
      </w:pPr>
    </w:p>
    <w:p w14:paraId="55A43675" w14:textId="77777777" w:rsidR="006E1471" w:rsidRDefault="006E1471"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cs="Arial"/>
          <w:sz w:val="18"/>
          <w:szCs w:val="18"/>
          <w:lang w:val="en-US"/>
        </w:rPr>
      </w:pPr>
    </w:p>
    <w:p w14:paraId="17CA15A0" w14:textId="77777777" w:rsidR="006E1471" w:rsidRDefault="006E1471"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cs="Arial"/>
          <w:sz w:val="18"/>
          <w:szCs w:val="18"/>
          <w:lang w:val="en-US"/>
        </w:rPr>
      </w:pPr>
    </w:p>
    <w:p w14:paraId="3EAC5CEA" w14:textId="77777777" w:rsidR="006E1471" w:rsidRDefault="006E1471"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cs="Arial"/>
          <w:sz w:val="18"/>
          <w:szCs w:val="18"/>
          <w:lang w:val="en-US"/>
        </w:rPr>
      </w:pPr>
    </w:p>
    <w:p w14:paraId="757542EA" w14:textId="77777777" w:rsidR="003F5734" w:rsidRDefault="003F5734" w:rsidP="003F5734">
      <w:pPr>
        <w:pStyle w:val="FootnoteText"/>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hanging="142"/>
        <w:rPr>
          <w:rFonts w:asciiTheme="minorHAnsi" w:hAnsiTheme="minorHAnsi" w:cs="Arial"/>
          <w:sz w:val="18"/>
          <w:szCs w:val="18"/>
          <w:lang w:val="en-US"/>
        </w:rPr>
      </w:pPr>
      <w:r>
        <w:rPr>
          <w:rFonts w:cs="Arial"/>
          <w:sz w:val="18"/>
          <w:szCs w:val="18"/>
          <w:lang w:val="en-US"/>
        </w:rPr>
        <w:t xml:space="preserve"> regulated principally in Law 1004 of 2005 and Decree 2147 of 2016.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157D" w14:textId="77777777" w:rsidR="00B65E33" w:rsidRDefault="0062233B" w:rsidP="00385E29">
    <w:pPr>
      <w:pStyle w:val="Header"/>
      <w:tabs>
        <w:tab w:val="clear" w:pos="4419"/>
      </w:tabs>
    </w:pPr>
    <w:r>
      <w:rPr>
        <w:noProof/>
        <w:lang w:val="tr-TR" w:eastAsia="tr-TR"/>
      </w:rPr>
      <w:drawing>
        <wp:anchor distT="0" distB="0" distL="114300" distR="114300" simplePos="0" relativeHeight="251659264" behindDoc="1" locked="0" layoutInCell="1" allowOverlap="1" wp14:anchorId="5E5BC124" wp14:editId="010D67E9">
          <wp:simplePos x="0" y="0"/>
          <wp:positionH relativeFrom="column">
            <wp:posOffset>-661035</wp:posOffset>
          </wp:positionH>
          <wp:positionV relativeFrom="paragraph">
            <wp:posOffset>-316230</wp:posOffset>
          </wp:positionV>
          <wp:extent cx="1592580" cy="990600"/>
          <wp:effectExtent l="0" t="0" r="7620" b="0"/>
          <wp:wrapTight wrapText="bothSides">
            <wp:wrapPolygon edited="0">
              <wp:start x="0" y="0"/>
              <wp:lineTo x="0" y="21185"/>
              <wp:lineTo x="21445" y="21185"/>
              <wp:lineTo x="21445"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58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65E3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44D31"/>
    <w:multiLevelType w:val="hybridMultilevel"/>
    <w:tmpl w:val="807444B2"/>
    <w:lvl w:ilvl="0" w:tplc="C4D83B3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CF36848"/>
    <w:multiLevelType w:val="hybridMultilevel"/>
    <w:tmpl w:val="BC3829B8"/>
    <w:lvl w:ilvl="0" w:tplc="240A0017">
      <w:start w:val="1"/>
      <w:numFmt w:val="lowerLetter"/>
      <w:lvlText w:val="%1)"/>
      <w:lvlJc w:val="left"/>
      <w:pPr>
        <w:ind w:left="720" w:hanging="360"/>
      </w:pPr>
      <w:rPr>
        <w:rFonts w:hint="default"/>
      </w:rPr>
    </w:lvl>
    <w:lvl w:ilvl="1" w:tplc="240A0013">
      <w:start w:val="1"/>
      <w:numFmt w:val="upp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4D03219"/>
    <w:multiLevelType w:val="hybridMultilevel"/>
    <w:tmpl w:val="2FF8C8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FE67E39"/>
    <w:multiLevelType w:val="multilevel"/>
    <w:tmpl w:val="745A3CD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211C54EF"/>
    <w:multiLevelType w:val="hybridMultilevel"/>
    <w:tmpl w:val="A050B170"/>
    <w:lvl w:ilvl="0" w:tplc="240A000F">
      <w:start w:val="1"/>
      <w:numFmt w:val="decimal"/>
      <w:lvlText w:val="%1."/>
      <w:lvlJc w:val="left"/>
      <w:pPr>
        <w:ind w:left="2858" w:hanging="360"/>
      </w:pPr>
    </w:lvl>
    <w:lvl w:ilvl="1" w:tplc="240A0019">
      <w:start w:val="1"/>
      <w:numFmt w:val="lowerLetter"/>
      <w:lvlText w:val="%2."/>
      <w:lvlJc w:val="left"/>
      <w:pPr>
        <w:ind w:left="3578" w:hanging="360"/>
      </w:pPr>
    </w:lvl>
    <w:lvl w:ilvl="2" w:tplc="240A001B">
      <w:start w:val="1"/>
      <w:numFmt w:val="lowerRoman"/>
      <w:lvlText w:val="%3."/>
      <w:lvlJc w:val="right"/>
      <w:pPr>
        <w:ind w:left="4298" w:hanging="180"/>
      </w:pPr>
    </w:lvl>
    <w:lvl w:ilvl="3" w:tplc="240A000F">
      <w:start w:val="1"/>
      <w:numFmt w:val="decimal"/>
      <w:lvlText w:val="%4."/>
      <w:lvlJc w:val="left"/>
      <w:pPr>
        <w:ind w:left="5018" w:hanging="360"/>
      </w:pPr>
    </w:lvl>
    <w:lvl w:ilvl="4" w:tplc="240A0019">
      <w:start w:val="1"/>
      <w:numFmt w:val="lowerLetter"/>
      <w:lvlText w:val="%5."/>
      <w:lvlJc w:val="left"/>
      <w:pPr>
        <w:ind w:left="5738" w:hanging="360"/>
      </w:pPr>
    </w:lvl>
    <w:lvl w:ilvl="5" w:tplc="240A001B">
      <w:start w:val="1"/>
      <w:numFmt w:val="lowerRoman"/>
      <w:lvlText w:val="%6."/>
      <w:lvlJc w:val="right"/>
      <w:pPr>
        <w:ind w:left="6458" w:hanging="180"/>
      </w:pPr>
    </w:lvl>
    <w:lvl w:ilvl="6" w:tplc="240A000F">
      <w:start w:val="1"/>
      <w:numFmt w:val="decimal"/>
      <w:lvlText w:val="%7."/>
      <w:lvlJc w:val="left"/>
      <w:pPr>
        <w:ind w:left="7178" w:hanging="360"/>
      </w:pPr>
    </w:lvl>
    <w:lvl w:ilvl="7" w:tplc="240A0019">
      <w:start w:val="1"/>
      <w:numFmt w:val="lowerLetter"/>
      <w:lvlText w:val="%8."/>
      <w:lvlJc w:val="left"/>
      <w:pPr>
        <w:ind w:left="7898" w:hanging="360"/>
      </w:pPr>
    </w:lvl>
    <w:lvl w:ilvl="8" w:tplc="240A001B">
      <w:start w:val="1"/>
      <w:numFmt w:val="lowerRoman"/>
      <w:lvlText w:val="%9."/>
      <w:lvlJc w:val="right"/>
      <w:pPr>
        <w:ind w:left="8618" w:hanging="180"/>
      </w:pPr>
    </w:lvl>
  </w:abstractNum>
  <w:abstractNum w:abstractNumId="5">
    <w:nsid w:val="268D1B98"/>
    <w:multiLevelType w:val="hybridMultilevel"/>
    <w:tmpl w:val="BC48C1B0"/>
    <w:lvl w:ilvl="0" w:tplc="240A0001">
      <w:start w:val="1"/>
      <w:numFmt w:val="bullet"/>
      <w:lvlText w:val=""/>
      <w:lvlJc w:val="left"/>
      <w:pPr>
        <w:ind w:left="1440" w:hanging="360"/>
      </w:pPr>
      <w:rPr>
        <w:rFonts w:ascii="Symbol" w:hAnsi="Symbol" w:hint="default"/>
        <w:b w:val="0"/>
        <w:sz w:val="22"/>
        <w:szCs w:val="22"/>
      </w:r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6">
    <w:nsid w:val="29DB5F5B"/>
    <w:multiLevelType w:val="hybridMultilevel"/>
    <w:tmpl w:val="666247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nsid w:val="32E82D0D"/>
    <w:multiLevelType w:val="hybridMultilevel"/>
    <w:tmpl w:val="19009B4C"/>
    <w:lvl w:ilvl="0" w:tplc="E5D48216">
      <w:start w:val="1"/>
      <w:numFmt w:val="bullet"/>
      <w:lvlText w:val=""/>
      <w:lvlJc w:val="left"/>
      <w:pPr>
        <w:ind w:left="720" w:hanging="360"/>
      </w:pPr>
      <w:rPr>
        <w:rFonts w:ascii="Symbol" w:eastAsiaTheme="minorEastAsia"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nsid w:val="392B6994"/>
    <w:multiLevelType w:val="hybridMultilevel"/>
    <w:tmpl w:val="77B6F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F62424D"/>
    <w:multiLevelType w:val="hybridMultilevel"/>
    <w:tmpl w:val="AE961FEA"/>
    <w:lvl w:ilvl="0" w:tplc="3222A5D6">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423F22D8"/>
    <w:multiLevelType w:val="hybridMultilevel"/>
    <w:tmpl w:val="D3062D6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49BE5350"/>
    <w:multiLevelType w:val="hybridMultilevel"/>
    <w:tmpl w:val="C896DCAC"/>
    <w:lvl w:ilvl="0" w:tplc="563226D6">
      <w:start w:val="1"/>
      <w:numFmt w:val="decimal"/>
      <w:lvlText w:val="%1."/>
      <w:lvlJc w:val="left"/>
      <w:pPr>
        <w:ind w:left="720" w:hanging="360"/>
      </w:pPr>
      <w:rPr>
        <w:rFonts w:hint="default"/>
      </w:rPr>
    </w:lvl>
    <w:lvl w:ilvl="1" w:tplc="58F2C612">
      <w:numFmt w:val="bullet"/>
      <w:lvlText w:val="•"/>
      <w:lvlJc w:val="left"/>
      <w:pPr>
        <w:ind w:left="1785" w:hanging="705"/>
      </w:pPr>
      <w:rPr>
        <w:rFonts w:ascii="Calibri" w:eastAsia="Calibr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A4E53D3"/>
    <w:multiLevelType w:val="hybridMultilevel"/>
    <w:tmpl w:val="82B24E8A"/>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
    <w:nsid w:val="4B3568FD"/>
    <w:multiLevelType w:val="hybridMultilevel"/>
    <w:tmpl w:val="E4D8BC1C"/>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D0155F6"/>
    <w:multiLevelType w:val="hybridMultilevel"/>
    <w:tmpl w:val="E952725E"/>
    <w:lvl w:ilvl="0" w:tplc="D92E769A">
      <w:start w:val="1"/>
      <w:numFmt w:val="upperLetter"/>
      <w:lvlText w:val="%1)"/>
      <w:lvlJc w:val="left"/>
      <w:pPr>
        <w:ind w:left="1440" w:hanging="360"/>
      </w:pPr>
      <w:rPr>
        <w:b w:val="0"/>
        <w:sz w:val="22"/>
        <w:szCs w:val="22"/>
      </w:r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15">
    <w:nsid w:val="500B7E33"/>
    <w:multiLevelType w:val="hybridMultilevel"/>
    <w:tmpl w:val="7E12D4D6"/>
    <w:lvl w:ilvl="0" w:tplc="D8746788">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3B3277AE">
      <w:start w:val="4"/>
      <w:numFmt w:val="bullet"/>
      <w:lvlText w:val="-"/>
      <w:lvlJc w:val="left"/>
      <w:pPr>
        <w:ind w:left="3216" w:hanging="360"/>
      </w:pPr>
      <w:rPr>
        <w:rFonts w:ascii="Calibri" w:eastAsiaTheme="minorHAnsi" w:hAnsi="Calibri" w:cstheme="minorBidi" w:hint="default"/>
      </w:rPr>
    </w:lvl>
    <w:lvl w:ilvl="3" w:tplc="0C0A0001">
      <w:start w:val="1"/>
      <w:numFmt w:val="bullet"/>
      <w:lvlText w:val=""/>
      <w:lvlJc w:val="left"/>
      <w:pPr>
        <w:ind w:left="3936" w:hanging="360"/>
      </w:pPr>
      <w:rPr>
        <w:rFonts w:ascii="Symbol" w:hAnsi="Symbol" w:hint="default"/>
      </w:rPr>
    </w:lvl>
    <w:lvl w:ilvl="4" w:tplc="0C0A0003">
      <w:start w:val="1"/>
      <w:numFmt w:val="bullet"/>
      <w:lvlText w:val="o"/>
      <w:lvlJc w:val="left"/>
      <w:pPr>
        <w:ind w:left="4656" w:hanging="360"/>
      </w:pPr>
      <w:rPr>
        <w:rFonts w:ascii="Courier New" w:hAnsi="Courier New" w:cs="Courier New" w:hint="default"/>
      </w:rPr>
    </w:lvl>
    <w:lvl w:ilvl="5" w:tplc="0C0A0005">
      <w:start w:val="1"/>
      <w:numFmt w:val="bullet"/>
      <w:lvlText w:val=""/>
      <w:lvlJc w:val="left"/>
      <w:pPr>
        <w:ind w:left="5376" w:hanging="360"/>
      </w:pPr>
      <w:rPr>
        <w:rFonts w:ascii="Wingdings" w:hAnsi="Wingdings" w:hint="default"/>
      </w:rPr>
    </w:lvl>
    <w:lvl w:ilvl="6" w:tplc="0C0A0001">
      <w:start w:val="1"/>
      <w:numFmt w:val="bullet"/>
      <w:lvlText w:val=""/>
      <w:lvlJc w:val="left"/>
      <w:pPr>
        <w:ind w:left="6096" w:hanging="360"/>
      </w:pPr>
      <w:rPr>
        <w:rFonts w:ascii="Symbol" w:hAnsi="Symbol" w:hint="default"/>
      </w:rPr>
    </w:lvl>
    <w:lvl w:ilvl="7" w:tplc="0C0A0003">
      <w:start w:val="1"/>
      <w:numFmt w:val="bullet"/>
      <w:lvlText w:val="o"/>
      <w:lvlJc w:val="left"/>
      <w:pPr>
        <w:ind w:left="6816" w:hanging="360"/>
      </w:pPr>
      <w:rPr>
        <w:rFonts w:ascii="Courier New" w:hAnsi="Courier New" w:cs="Courier New" w:hint="default"/>
      </w:rPr>
    </w:lvl>
    <w:lvl w:ilvl="8" w:tplc="0C0A0005">
      <w:start w:val="1"/>
      <w:numFmt w:val="bullet"/>
      <w:lvlText w:val=""/>
      <w:lvlJc w:val="left"/>
      <w:pPr>
        <w:ind w:left="7536" w:hanging="360"/>
      </w:pPr>
      <w:rPr>
        <w:rFonts w:ascii="Wingdings" w:hAnsi="Wingdings" w:hint="default"/>
      </w:rPr>
    </w:lvl>
  </w:abstractNum>
  <w:abstractNum w:abstractNumId="16">
    <w:nsid w:val="50255467"/>
    <w:multiLevelType w:val="hybridMultilevel"/>
    <w:tmpl w:val="9B463278"/>
    <w:lvl w:ilvl="0" w:tplc="512C5B46">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nsid w:val="5B35573A"/>
    <w:multiLevelType w:val="hybridMultilevel"/>
    <w:tmpl w:val="2C2E621C"/>
    <w:lvl w:ilvl="0" w:tplc="11B6DF06">
      <w:start w:val="1"/>
      <w:numFmt w:val="decimal"/>
      <w:lvlText w:val="2.%1"/>
      <w:lvlJc w:val="left"/>
      <w:pPr>
        <w:ind w:left="3578" w:hanging="360"/>
      </w:pPr>
    </w:lvl>
    <w:lvl w:ilvl="1" w:tplc="240A0019">
      <w:start w:val="1"/>
      <w:numFmt w:val="lowerLetter"/>
      <w:lvlText w:val="%2."/>
      <w:lvlJc w:val="left"/>
      <w:pPr>
        <w:ind w:left="4298" w:hanging="360"/>
      </w:pPr>
    </w:lvl>
    <w:lvl w:ilvl="2" w:tplc="240A001B">
      <w:start w:val="1"/>
      <w:numFmt w:val="lowerRoman"/>
      <w:lvlText w:val="%3."/>
      <w:lvlJc w:val="right"/>
      <w:pPr>
        <w:ind w:left="5018" w:hanging="180"/>
      </w:pPr>
    </w:lvl>
    <w:lvl w:ilvl="3" w:tplc="240A000F">
      <w:start w:val="1"/>
      <w:numFmt w:val="decimal"/>
      <w:lvlText w:val="%4."/>
      <w:lvlJc w:val="left"/>
      <w:pPr>
        <w:ind w:left="5738" w:hanging="360"/>
      </w:pPr>
    </w:lvl>
    <w:lvl w:ilvl="4" w:tplc="240A0019">
      <w:start w:val="1"/>
      <w:numFmt w:val="lowerLetter"/>
      <w:lvlText w:val="%5."/>
      <w:lvlJc w:val="left"/>
      <w:pPr>
        <w:ind w:left="6458" w:hanging="360"/>
      </w:pPr>
    </w:lvl>
    <w:lvl w:ilvl="5" w:tplc="240A001B">
      <w:start w:val="1"/>
      <w:numFmt w:val="lowerRoman"/>
      <w:lvlText w:val="%6."/>
      <w:lvlJc w:val="right"/>
      <w:pPr>
        <w:ind w:left="7178" w:hanging="180"/>
      </w:pPr>
    </w:lvl>
    <w:lvl w:ilvl="6" w:tplc="240A000F">
      <w:start w:val="1"/>
      <w:numFmt w:val="decimal"/>
      <w:lvlText w:val="%7."/>
      <w:lvlJc w:val="left"/>
      <w:pPr>
        <w:ind w:left="7898" w:hanging="360"/>
      </w:pPr>
    </w:lvl>
    <w:lvl w:ilvl="7" w:tplc="240A0019">
      <w:start w:val="1"/>
      <w:numFmt w:val="lowerLetter"/>
      <w:lvlText w:val="%8."/>
      <w:lvlJc w:val="left"/>
      <w:pPr>
        <w:ind w:left="8618" w:hanging="360"/>
      </w:pPr>
    </w:lvl>
    <w:lvl w:ilvl="8" w:tplc="240A001B">
      <w:start w:val="1"/>
      <w:numFmt w:val="lowerRoman"/>
      <w:lvlText w:val="%9."/>
      <w:lvlJc w:val="right"/>
      <w:pPr>
        <w:ind w:left="9338" w:hanging="180"/>
      </w:pPr>
    </w:lvl>
  </w:abstractNum>
  <w:abstractNum w:abstractNumId="18">
    <w:nsid w:val="5D3037FC"/>
    <w:multiLevelType w:val="hybridMultilevel"/>
    <w:tmpl w:val="00FC0AC8"/>
    <w:lvl w:ilvl="0" w:tplc="240A0003">
      <w:start w:val="1"/>
      <w:numFmt w:val="bullet"/>
      <w:lvlText w:val="o"/>
      <w:lvlJc w:val="left"/>
      <w:pPr>
        <w:ind w:left="1440" w:hanging="360"/>
      </w:pPr>
      <w:rPr>
        <w:rFonts w:ascii="Courier New" w:hAnsi="Courier New" w:cs="Courier New" w:hint="default"/>
        <w:b w:val="0"/>
        <w:sz w:val="22"/>
        <w:szCs w:val="22"/>
      </w:r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19">
    <w:nsid w:val="5D9312DB"/>
    <w:multiLevelType w:val="hybridMultilevel"/>
    <w:tmpl w:val="5E1CEB7E"/>
    <w:lvl w:ilvl="0" w:tplc="F708A2E0">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AB45716"/>
    <w:multiLevelType w:val="hybridMultilevel"/>
    <w:tmpl w:val="5830C0AE"/>
    <w:lvl w:ilvl="0" w:tplc="BE1234C2">
      <w:start w:val="1"/>
      <w:numFmt w:val="decimal"/>
      <w:lvlText w:val="7.%1"/>
      <w:lvlJc w:val="left"/>
      <w:pPr>
        <w:ind w:left="3578" w:hanging="360"/>
      </w:pPr>
    </w:lvl>
    <w:lvl w:ilvl="1" w:tplc="240A0019">
      <w:start w:val="1"/>
      <w:numFmt w:val="lowerLetter"/>
      <w:lvlText w:val="%2."/>
      <w:lvlJc w:val="left"/>
      <w:pPr>
        <w:ind w:left="4298" w:hanging="360"/>
      </w:pPr>
    </w:lvl>
    <w:lvl w:ilvl="2" w:tplc="240A001B">
      <w:start w:val="1"/>
      <w:numFmt w:val="lowerRoman"/>
      <w:lvlText w:val="%3."/>
      <w:lvlJc w:val="right"/>
      <w:pPr>
        <w:ind w:left="5018" w:hanging="180"/>
      </w:pPr>
    </w:lvl>
    <w:lvl w:ilvl="3" w:tplc="240A000F">
      <w:start w:val="1"/>
      <w:numFmt w:val="decimal"/>
      <w:lvlText w:val="%4."/>
      <w:lvlJc w:val="left"/>
      <w:pPr>
        <w:ind w:left="5738" w:hanging="360"/>
      </w:pPr>
    </w:lvl>
    <w:lvl w:ilvl="4" w:tplc="240A0019">
      <w:start w:val="1"/>
      <w:numFmt w:val="lowerLetter"/>
      <w:lvlText w:val="%5."/>
      <w:lvlJc w:val="left"/>
      <w:pPr>
        <w:ind w:left="6458" w:hanging="360"/>
      </w:pPr>
    </w:lvl>
    <w:lvl w:ilvl="5" w:tplc="240A001B">
      <w:start w:val="1"/>
      <w:numFmt w:val="lowerRoman"/>
      <w:lvlText w:val="%6."/>
      <w:lvlJc w:val="right"/>
      <w:pPr>
        <w:ind w:left="7178" w:hanging="180"/>
      </w:pPr>
    </w:lvl>
    <w:lvl w:ilvl="6" w:tplc="240A000F">
      <w:start w:val="1"/>
      <w:numFmt w:val="decimal"/>
      <w:lvlText w:val="%7."/>
      <w:lvlJc w:val="left"/>
      <w:pPr>
        <w:ind w:left="7898" w:hanging="360"/>
      </w:pPr>
    </w:lvl>
    <w:lvl w:ilvl="7" w:tplc="240A0019">
      <w:start w:val="1"/>
      <w:numFmt w:val="lowerLetter"/>
      <w:lvlText w:val="%8."/>
      <w:lvlJc w:val="left"/>
      <w:pPr>
        <w:ind w:left="8618" w:hanging="360"/>
      </w:pPr>
    </w:lvl>
    <w:lvl w:ilvl="8" w:tplc="240A001B">
      <w:start w:val="1"/>
      <w:numFmt w:val="lowerRoman"/>
      <w:lvlText w:val="%9."/>
      <w:lvlJc w:val="right"/>
      <w:pPr>
        <w:ind w:left="9338" w:hanging="180"/>
      </w:pPr>
    </w:lvl>
  </w:abstractNum>
  <w:abstractNum w:abstractNumId="21">
    <w:nsid w:val="6BD645C8"/>
    <w:multiLevelType w:val="hybridMultilevel"/>
    <w:tmpl w:val="C4F46834"/>
    <w:lvl w:ilvl="0" w:tplc="D8746788">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start w:val="1"/>
      <w:numFmt w:val="bullet"/>
      <w:lvlText w:val=""/>
      <w:lvlJc w:val="left"/>
      <w:pPr>
        <w:ind w:left="3936" w:hanging="360"/>
      </w:pPr>
      <w:rPr>
        <w:rFonts w:ascii="Symbol" w:hAnsi="Symbol" w:hint="default"/>
      </w:rPr>
    </w:lvl>
    <w:lvl w:ilvl="4" w:tplc="0C0A0003">
      <w:start w:val="1"/>
      <w:numFmt w:val="bullet"/>
      <w:lvlText w:val="o"/>
      <w:lvlJc w:val="left"/>
      <w:pPr>
        <w:ind w:left="4656" w:hanging="360"/>
      </w:pPr>
      <w:rPr>
        <w:rFonts w:ascii="Courier New" w:hAnsi="Courier New" w:cs="Courier New" w:hint="default"/>
      </w:rPr>
    </w:lvl>
    <w:lvl w:ilvl="5" w:tplc="0C0A0005">
      <w:start w:val="1"/>
      <w:numFmt w:val="bullet"/>
      <w:lvlText w:val=""/>
      <w:lvlJc w:val="left"/>
      <w:pPr>
        <w:ind w:left="5376" w:hanging="360"/>
      </w:pPr>
      <w:rPr>
        <w:rFonts w:ascii="Wingdings" w:hAnsi="Wingdings" w:hint="default"/>
      </w:rPr>
    </w:lvl>
    <w:lvl w:ilvl="6" w:tplc="0C0A0001">
      <w:start w:val="1"/>
      <w:numFmt w:val="bullet"/>
      <w:lvlText w:val=""/>
      <w:lvlJc w:val="left"/>
      <w:pPr>
        <w:ind w:left="6096" w:hanging="360"/>
      </w:pPr>
      <w:rPr>
        <w:rFonts w:ascii="Symbol" w:hAnsi="Symbol" w:hint="default"/>
      </w:rPr>
    </w:lvl>
    <w:lvl w:ilvl="7" w:tplc="0C0A0003">
      <w:start w:val="1"/>
      <w:numFmt w:val="bullet"/>
      <w:lvlText w:val="o"/>
      <w:lvlJc w:val="left"/>
      <w:pPr>
        <w:ind w:left="6816" w:hanging="360"/>
      </w:pPr>
      <w:rPr>
        <w:rFonts w:ascii="Courier New" w:hAnsi="Courier New" w:cs="Courier New" w:hint="default"/>
      </w:rPr>
    </w:lvl>
    <w:lvl w:ilvl="8" w:tplc="0C0A0005">
      <w:start w:val="1"/>
      <w:numFmt w:val="bullet"/>
      <w:lvlText w:val=""/>
      <w:lvlJc w:val="left"/>
      <w:pPr>
        <w:ind w:left="7536" w:hanging="360"/>
      </w:pPr>
      <w:rPr>
        <w:rFonts w:ascii="Wingdings" w:hAnsi="Wingdings" w:hint="default"/>
      </w:rPr>
    </w:lvl>
  </w:abstractNum>
  <w:abstractNum w:abstractNumId="22">
    <w:nsid w:val="6E4F1982"/>
    <w:multiLevelType w:val="hybridMultilevel"/>
    <w:tmpl w:val="A80E94AA"/>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785" w:hanging="705"/>
      </w:pPr>
      <w:rPr>
        <w:rFonts w:ascii="Wingdings" w:hAnsi="Wingding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715D456B"/>
    <w:multiLevelType w:val="hybridMultilevel"/>
    <w:tmpl w:val="05B67F6C"/>
    <w:lvl w:ilvl="0" w:tplc="B872993E">
      <w:start w:val="1"/>
      <w:numFmt w:val="decimal"/>
      <w:pStyle w:val="Heading1"/>
      <w:lvlText w:val="%1."/>
      <w:lvlJc w:val="left"/>
      <w:pPr>
        <w:ind w:left="6881" w:hanging="360"/>
      </w:pPr>
      <w:rPr>
        <w:rFonts w:hint="default"/>
      </w:rPr>
    </w:lvl>
    <w:lvl w:ilvl="1" w:tplc="240A0019" w:tentative="1">
      <w:start w:val="1"/>
      <w:numFmt w:val="lowerLetter"/>
      <w:lvlText w:val="%2."/>
      <w:lvlJc w:val="left"/>
      <w:pPr>
        <w:ind w:left="7601" w:hanging="360"/>
      </w:pPr>
    </w:lvl>
    <w:lvl w:ilvl="2" w:tplc="240A001B" w:tentative="1">
      <w:start w:val="1"/>
      <w:numFmt w:val="lowerRoman"/>
      <w:lvlText w:val="%3."/>
      <w:lvlJc w:val="right"/>
      <w:pPr>
        <w:ind w:left="8321" w:hanging="180"/>
      </w:pPr>
    </w:lvl>
    <w:lvl w:ilvl="3" w:tplc="240A000F" w:tentative="1">
      <w:start w:val="1"/>
      <w:numFmt w:val="decimal"/>
      <w:lvlText w:val="%4."/>
      <w:lvlJc w:val="left"/>
      <w:pPr>
        <w:ind w:left="9041" w:hanging="360"/>
      </w:pPr>
    </w:lvl>
    <w:lvl w:ilvl="4" w:tplc="240A0019" w:tentative="1">
      <w:start w:val="1"/>
      <w:numFmt w:val="lowerLetter"/>
      <w:lvlText w:val="%5."/>
      <w:lvlJc w:val="left"/>
      <w:pPr>
        <w:ind w:left="9761" w:hanging="360"/>
      </w:pPr>
    </w:lvl>
    <w:lvl w:ilvl="5" w:tplc="240A001B" w:tentative="1">
      <w:start w:val="1"/>
      <w:numFmt w:val="lowerRoman"/>
      <w:lvlText w:val="%6."/>
      <w:lvlJc w:val="right"/>
      <w:pPr>
        <w:ind w:left="10481" w:hanging="180"/>
      </w:pPr>
    </w:lvl>
    <w:lvl w:ilvl="6" w:tplc="240A000F" w:tentative="1">
      <w:start w:val="1"/>
      <w:numFmt w:val="decimal"/>
      <w:lvlText w:val="%7."/>
      <w:lvlJc w:val="left"/>
      <w:pPr>
        <w:ind w:left="11201" w:hanging="360"/>
      </w:pPr>
    </w:lvl>
    <w:lvl w:ilvl="7" w:tplc="240A0019" w:tentative="1">
      <w:start w:val="1"/>
      <w:numFmt w:val="lowerLetter"/>
      <w:lvlText w:val="%8."/>
      <w:lvlJc w:val="left"/>
      <w:pPr>
        <w:ind w:left="11921" w:hanging="360"/>
      </w:pPr>
    </w:lvl>
    <w:lvl w:ilvl="8" w:tplc="240A001B" w:tentative="1">
      <w:start w:val="1"/>
      <w:numFmt w:val="lowerRoman"/>
      <w:lvlText w:val="%9."/>
      <w:lvlJc w:val="right"/>
      <w:pPr>
        <w:ind w:left="12641" w:hanging="180"/>
      </w:pPr>
    </w:lvl>
  </w:abstractNum>
  <w:abstractNum w:abstractNumId="24">
    <w:nsid w:val="71A9338B"/>
    <w:multiLevelType w:val="hybridMultilevel"/>
    <w:tmpl w:val="206AEE1C"/>
    <w:lvl w:ilvl="0" w:tplc="240A0003">
      <w:start w:val="1"/>
      <w:numFmt w:val="bullet"/>
      <w:lvlText w:val="o"/>
      <w:lvlJc w:val="left"/>
      <w:pPr>
        <w:ind w:left="1440" w:hanging="360"/>
      </w:pPr>
      <w:rPr>
        <w:rFonts w:ascii="Courier New" w:hAnsi="Courier New" w:cs="Courier New" w:hint="default"/>
        <w:b w:val="0"/>
        <w:sz w:val="22"/>
        <w:szCs w:val="22"/>
      </w:r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25">
    <w:nsid w:val="74971627"/>
    <w:multiLevelType w:val="hybridMultilevel"/>
    <w:tmpl w:val="870C5116"/>
    <w:lvl w:ilvl="0" w:tplc="9A66DC5E">
      <w:start w:val="1"/>
      <w:numFmt w:val="bullet"/>
      <w:lvlText w:val="-"/>
      <w:lvlJc w:val="left"/>
      <w:pPr>
        <w:ind w:left="2140" w:hanging="360"/>
      </w:pPr>
      <w:rPr>
        <w:rFonts w:ascii="Calibri" w:eastAsia="Times New Roman" w:hAnsi="Calibri" w:cs="Times New Roman" w:hint="default"/>
        <w:b/>
        <w:color w:val="000000"/>
      </w:rPr>
    </w:lvl>
    <w:lvl w:ilvl="1" w:tplc="240A0003">
      <w:start w:val="1"/>
      <w:numFmt w:val="bullet"/>
      <w:lvlText w:val="o"/>
      <w:lvlJc w:val="left"/>
      <w:pPr>
        <w:ind w:left="2860" w:hanging="360"/>
      </w:pPr>
      <w:rPr>
        <w:rFonts w:ascii="Courier New" w:hAnsi="Courier New" w:cs="Courier New" w:hint="default"/>
      </w:rPr>
    </w:lvl>
    <w:lvl w:ilvl="2" w:tplc="240A0005">
      <w:start w:val="1"/>
      <w:numFmt w:val="bullet"/>
      <w:lvlText w:val=""/>
      <w:lvlJc w:val="left"/>
      <w:pPr>
        <w:ind w:left="3580" w:hanging="360"/>
      </w:pPr>
      <w:rPr>
        <w:rFonts w:ascii="Wingdings" w:hAnsi="Wingdings" w:hint="default"/>
      </w:rPr>
    </w:lvl>
    <w:lvl w:ilvl="3" w:tplc="240A0001">
      <w:start w:val="1"/>
      <w:numFmt w:val="bullet"/>
      <w:lvlText w:val=""/>
      <w:lvlJc w:val="left"/>
      <w:pPr>
        <w:ind w:left="4300" w:hanging="360"/>
      </w:pPr>
      <w:rPr>
        <w:rFonts w:ascii="Symbol" w:hAnsi="Symbol" w:hint="default"/>
      </w:rPr>
    </w:lvl>
    <w:lvl w:ilvl="4" w:tplc="240A0003">
      <w:start w:val="1"/>
      <w:numFmt w:val="bullet"/>
      <w:lvlText w:val="o"/>
      <w:lvlJc w:val="left"/>
      <w:pPr>
        <w:ind w:left="5020" w:hanging="360"/>
      </w:pPr>
      <w:rPr>
        <w:rFonts w:ascii="Courier New" w:hAnsi="Courier New" w:cs="Courier New" w:hint="default"/>
      </w:rPr>
    </w:lvl>
    <w:lvl w:ilvl="5" w:tplc="240A0005">
      <w:start w:val="1"/>
      <w:numFmt w:val="bullet"/>
      <w:lvlText w:val=""/>
      <w:lvlJc w:val="left"/>
      <w:pPr>
        <w:ind w:left="5740" w:hanging="360"/>
      </w:pPr>
      <w:rPr>
        <w:rFonts w:ascii="Wingdings" w:hAnsi="Wingdings" w:hint="default"/>
      </w:rPr>
    </w:lvl>
    <w:lvl w:ilvl="6" w:tplc="240A0001">
      <w:start w:val="1"/>
      <w:numFmt w:val="bullet"/>
      <w:lvlText w:val=""/>
      <w:lvlJc w:val="left"/>
      <w:pPr>
        <w:ind w:left="6460" w:hanging="360"/>
      </w:pPr>
      <w:rPr>
        <w:rFonts w:ascii="Symbol" w:hAnsi="Symbol" w:hint="default"/>
      </w:rPr>
    </w:lvl>
    <w:lvl w:ilvl="7" w:tplc="240A0003">
      <w:start w:val="1"/>
      <w:numFmt w:val="bullet"/>
      <w:lvlText w:val="o"/>
      <w:lvlJc w:val="left"/>
      <w:pPr>
        <w:ind w:left="7180" w:hanging="360"/>
      </w:pPr>
      <w:rPr>
        <w:rFonts w:ascii="Courier New" w:hAnsi="Courier New" w:cs="Courier New" w:hint="default"/>
      </w:rPr>
    </w:lvl>
    <w:lvl w:ilvl="8" w:tplc="240A0005">
      <w:start w:val="1"/>
      <w:numFmt w:val="bullet"/>
      <w:lvlText w:val=""/>
      <w:lvlJc w:val="left"/>
      <w:pPr>
        <w:ind w:left="7900" w:hanging="360"/>
      </w:pPr>
      <w:rPr>
        <w:rFonts w:ascii="Wingdings" w:hAnsi="Wingdings" w:hint="default"/>
      </w:rPr>
    </w:lvl>
  </w:abstractNum>
  <w:abstractNum w:abstractNumId="26">
    <w:nsid w:val="7F0003C2"/>
    <w:multiLevelType w:val="hybridMultilevel"/>
    <w:tmpl w:val="D20A6FB4"/>
    <w:lvl w:ilvl="0" w:tplc="240A0003">
      <w:start w:val="1"/>
      <w:numFmt w:val="bullet"/>
      <w:lvlText w:val="o"/>
      <w:lvlJc w:val="left"/>
      <w:pPr>
        <w:ind w:left="1440" w:hanging="360"/>
      </w:pPr>
      <w:rPr>
        <w:rFonts w:ascii="Courier New" w:hAnsi="Courier New" w:cs="Courier New" w:hint="default"/>
        <w:b w:val="0"/>
        <w:sz w:val="22"/>
        <w:szCs w:val="22"/>
      </w:r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27">
    <w:nsid w:val="7F054607"/>
    <w:multiLevelType w:val="multilevel"/>
    <w:tmpl w:val="D2383F7C"/>
    <w:lvl w:ilvl="0">
      <w:start w:val="1"/>
      <w:numFmt w:val="decimal"/>
      <w:lvlText w:val="%1."/>
      <w:lvlJc w:val="left"/>
      <w:pPr>
        <w:ind w:left="720" w:hanging="360"/>
      </w:pPr>
    </w:lvl>
    <w:lvl w:ilvl="1">
      <w:start w:val="1"/>
      <w:numFmt w:val="decimal"/>
      <w:isLgl/>
      <w:lvlText w:val="%1.%2."/>
      <w:lvlJc w:val="left"/>
      <w:pPr>
        <w:ind w:left="720" w:hanging="360"/>
      </w:pPr>
      <w:rPr>
        <w:rFonts w:eastAsia="Calibri"/>
      </w:rPr>
    </w:lvl>
    <w:lvl w:ilvl="2">
      <w:start w:val="1"/>
      <w:numFmt w:val="decimal"/>
      <w:isLgl/>
      <w:lvlText w:val="%1.%2.%3."/>
      <w:lvlJc w:val="left"/>
      <w:pPr>
        <w:ind w:left="1080" w:hanging="720"/>
      </w:pPr>
      <w:rPr>
        <w:rFonts w:eastAsia="Calibri"/>
      </w:rPr>
    </w:lvl>
    <w:lvl w:ilvl="3">
      <w:start w:val="1"/>
      <w:numFmt w:val="decimal"/>
      <w:isLgl/>
      <w:lvlText w:val="%1.%2.%3.%4."/>
      <w:lvlJc w:val="left"/>
      <w:pPr>
        <w:ind w:left="1080" w:hanging="720"/>
      </w:pPr>
      <w:rPr>
        <w:rFonts w:eastAsia="Calibri"/>
      </w:rPr>
    </w:lvl>
    <w:lvl w:ilvl="4">
      <w:start w:val="1"/>
      <w:numFmt w:val="decimal"/>
      <w:isLgl/>
      <w:lvlText w:val="%1.%2.%3.%4.%5."/>
      <w:lvlJc w:val="left"/>
      <w:pPr>
        <w:ind w:left="1440" w:hanging="1080"/>
      </w:pPr>
      <w:rPr>
        <w:rFonts w:eastAsia="Calibri"/>
      </w:rPr>
    </w:lvl>
    <w:lvl w:ilvl="5">
      <w:start w:val="1"/>
      <w:numFmt w:val="decimal"/>
      <w:isLgl/>
      <w:lvlText w:val="%1.%2.%3.%4.%5.%6."/>
      <w:lvlJc w:val="left"/>
      <w:pPr>
        <w:ind w:left="1440" w:hanging="1080"/>
      </w:pPr>
      <w:rPr>
        <w:rFonts w:eastAsia="Calibri"/>
      </w:rPr>
    </w:lvl>
    <w:lvl w:ilvl="6">
      <w:start w:val="1"/>
      <w:numFmt w:val="decimal"/>
      <w:isLgl/>
      <w:lvlText w:val="%1.%2.%3.%4.%5.%6.%7."/>
      <w:lvlJc w:val="left"/>
      <w:pPr>
        <w:ind w:left="1800" w:hanging="1440"/>
      </w:pPr>
      <w:rPr>
        <w:rFonts w:eastAsia="Calibri"/>
      </w:rPr>
    </w:lvl>
    <w:lvl w:ilvl="7">
      <w:start w:val="1"/>
      <w:numFmt w:val="decimal"/>
      <w:isLgl/>
      <w:lvlText w:val="%1.%2.%3.%4.%5.%6.%7.%8."/>
      <w:lvlJc w:val="left"/>
      <w:pPr>
        <w:ind w:left="1800" w:hanging="1440"/>
      </w:pPr>
      <w:rPr>
        <w:rFonts w:eastAsia="Calibri"/>
      </w:rPr>
    </w:lvl>
    <w:lvl w:ilvl="8">
      <w:start w:val="1"/>
      <w:numFmt w:val="decimal"/>
      <w:isLgl/>
      <w:lvlText w:val="%1.%2.%3.%4.%5.%6.%7.%8.%9."/>
      <w:lvlJc w:val="left"/>
      <w:pPr>
        <w:ind w:left="2160" w:hanging="1800"/>
      </w:pPr>
      <w:rPr>
        <w:rFonts w:eastAsia="Calibri"/>
      </w:rPr>
    </w:lvl>
  </w:abstractNum>
  <w:num w:numId="1">
    <w:abstractNumId w:val="23"/>
  </w:num>
  <w:num w:numId="2">
    <w:abstractNumId w:val="19"/>
  </w:num>
  <w:num w:numId="3">
    <w:abstractNumId w:val="0"/>
  </w:num>
  <w:num w:numId="4">
    <w:abstractNumId w:val="11"/>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5"/>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2"/>
  </w:num>
  <w:num w:numId="19">
    <w:abstractNumId w:val="13"/>
  </w:num>
  <w:num w:numId="20">
    <w:abstractNumId w:val="1"/>
  </w:num>
  <w:num w:numId="21">
    <w:abstractNumId w:val="9"/>
  </w:num>
  <w:num w:numId="22">
    <w:abstractNumId w:val="2"/>
  </w:num>
  <w:num w:numId="23">
    <w:abstractNumId w:val="6"/>
  </w:num>
  <w:num w:numId="24">
    <w:abstractNumId w:val="10"/>
  </w:num>
  <w:num w:numId="25">
    <w:abstractNumId w:val="14"/>
  </w:num>
  <w:num w:numId="26">
    <w:abstractNumId w:val="5"/>
  </w:num>
  <w:num w:numId="27">
    <w:abstractNumId w:val="26"/>
  </w:num>
  <w:num w:numId="28">
    <w:abstractNumId w:val="18"/>
  </w:num>
  <w:num w:numId="29">
    <w:abstractNumId w:val="24"/>
  </w:num>
  <w:num w:numId="30">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72F"/>
    <w:rsid w:val="000039F0"/>
    <w:rsid w:val="000118ED"/>
    <w:rsid w:val="000123FB"/>
    <w:rsid w:val="00012CD6"/>
    <w:rsid w:val="00017399"/>
    <w:rsid w:val="0002351D"/>
    <w:rsid w:val="000247CF"/>
    <w:rsid w:val="00033174"/>
    <w:rsid w:val="00034A12"/>
    <w:rsid w:val="000351AA"/>
    <w:rsid w:val="000379A2"/>
    <w:rsid w:val="0004145E"/>
    <w:rsid w:val="00043B72"/>
    <w:rsid w:val="00047CB5"/>
    <w:rsid w:val="00051CCA"/>
    <w:rsid w:val="00063920"/>
    <w:rsid w:val="0006459D"/>
    <w:rsid w:val="00065A2D"/>
    <w:rsid w:val="000705A3"/>
    <w:rsid w:val="00070D55"/>
    <w:rsid w:val="00075D29"/>
    <w:rsid w:val="00076A4E"/>
    <w:rsid w:val="0008147D"/>
    <w:rsid w:val="00081DCC"/>
    <w:rsid w:val="00082D1D"/>
    <w:rsid w:val="00090829"/>
    <w:rsid w:val="00095C60"/>
    <w:rsid w:val="00096024"/>
    <w:rsid w:val="000A41D2"/>
    <w:rsid w:val="000A4C70"/>
    <w:rsid w:val="000A668E"/>
    <w:rsid w:val="000A73C8"/>
    <w:rsid w:val="000A77B0"/>
    <w:rsid w:val="000A7C9F"/>
    <w:rsid w:val="000B3959"/>
    <w:rsid w:val="000B3D47"/>
    <w:rsid w:val="000B5C25"/>
    <w:rsid w:val="000C56E1"/>
    <w:rsid w:val="000D0D42"/>
    <w:rsid w:val="000D26F8"/>
    <w:rsid w:val="000D6101"/>
    <w:rsid w:val="000D6532"/>
    <w:rsid w:val="000E4227"/>
    <w:rsid w:val="000F39E3"/>
    <w:rsid w:val="000F555C"/>
    <w:rsid w:val="000F63B6"/>
    <w:rsid w:val="000F6A0E"/>
    <w:rsid w:val="000F77D9"/>
    <w:rsid w:val="000F7E3D"/>
    <w:rsid w:val="00100AE7"/>
    <w:rsid w:val="001026AE"/>
    <w:rsid w:val="00105DF8"/>
    <w:rsid w:val="00120693"/>
    <w:rsid w:val="001209B1"/>
    <w:rsid w:val="0013373C"/>
    <w:rsid w:val="00135DC6"/>
    <w:rsid w:val="001370DB"/>
    <w:rsid w:val="001436B3"/>
    <w:rsid w:val="00156A3F"/>
    <w:rsid w:val="00157C12"/>
    <w:rsid w:val="00157CBB"/>
    <w:rsid w:val="00157E49"/>
    <w:rsid w:val="00164F21"/>
    <w:rsid w:val="00166BE3"/>
    <w:rsid w:val="00172D76"/>
    <w:rsid w:val="00176644"/>
    <w:rsid w:val="00182BAD"/>
    <w:rsid w:val="00183529"/>
    <w:rsid w:val="001869D3"/>
    <w:rsid w:val="00191599"/>
    <w:rsid w:val="00193C29"/>
    <w:rsid w:val="001971B1"/>
    <w:rsid w:val="001971E1"/>
    <w:rsid w:val="001A3C4E"/>
    <w:rsid w:val="001A46F0"/>
    <w:rsid w:val="001B1282"/>
    <w:rsid w:val="001B6C2D"/>
    <w:rsid w:val="001C1EE6"/>
    <w:rsid w:val="001C7E4A"/>
    <w:rsid w:val="001D1ABF"/>
    <w:rsid w:val="001D4107"/>
    <w:rsid w:val="001D4CEA"/>
    <w:rsid w:val="001D60B0"/>
    <w:rsid w:val="001D69AB"/>
    <w:rsid w:val="001E5023"/>
    <w:rsid w:val="001F005A"/>
    <w:rsid w:val="001F20DF"/>
    <w:rsid w:val="001F3C50"/>
    <w:rsid w:val="001F4E6E"/>
    <w:rsid w:val="00203D62"/>
    <w:rsid w:val="00206A93"/>
    <w:rsid w:val="00211379"/>
    <w:rsid w:val="00213FDB"/>
    <w:rsid w:val="0021642C"/>
    <w:rsid w:val="00216BC6"/>
    <w:rsid w:val="002224D8"/>
    <w:rsid w:val="002233F2"/>
    <w:rsid w:val="002234E8"/>
    <w:rsid w:val="00225291"/>
    <w:rsid w:val="00225B43"/>
    <w:rsid w:val="00227F94"/>
    <w:rsid w:val="002315C5"/>
    <w:rsid w:val="00233937"/>
    <w:rsid w:val="0023394A"/>
    <w:rsid w:val="002365AC"/>
    <w:rsid w:val="00240866"/>
    <w:rsid w:val="00243074"/>
    <w:rsid w:val="00250058"/>
    <w:rsid w:val="00251D44"/>
    <w:rsid w:val="00251DDD"/>
    <w:rsid w:val="00253EA0"/>
    <w:rsid w:val="002640FB"/>
    <w:rsid w:val="00265D80"/>
    <w:rsid w:val="00266A12"/>
    <w:rsid w:val="002675F8"/>
    <w:rsid w:val="00273429"/>
    <w:rsid w:val="00274312"/>
    <w:rsid w:val="0028172F"/>
    <w:rsid w:val="002822CA"/>
    <w:rsid w:val="00282FA2"/>
    <w:rsid w:val="00286D6A"/>
    <w:rsid w:val="00287F03"/>
    <w:rsid w:val="002903AD"/>
    <w:rsid w:val="002930B1"/>
    <w:rsid w:val="002943C0"/>
    <w:rsid w:val="002949B0"/>
    <w:rsid w:val="00297E49"/>
    <w:rsid w:val="002A3E40"/>
    <w:rsid w:val="002A49A2"/>
    <w:rsid w:val="002A6B12"/>
    <w:rsid w:val="002A7DEE"/>
    <w:rsid w:val="002B6082"/>
    <w:rsid w:val="002C37B4"/>
    <w:rsid w:val="002C5E31"/>
    <w:rsid w:val="002D21FD"/>
    <w:rsid w:val="002D4A61"/>
    <w:rsid w:val="002D650D"/>
    <w:rsid w:val="002E5A14"/>
    <w:rsid w:val="002E6D23"/>
    <w:rsid w:val="002F1381"/>
    <w:rsid w:val="002F5174"/>
    <w:rsid w:val="003023A6"/>
    <w:rsid w:val="00303928"/>
    <w:rsid w:val="003047E2"/>
    <w:rsid w:val="00304E4E"/>
    <w:rsid w:val="003061AD"/>
    <w:rsid w:val="00306356"/>
    <w:rsid w:val="00306445"/>
    <w:rsid w:val="00306D53"/>
    <w:rsid w:val="003119B4"/>
    <w:rsid w:val="00316E0B"/>
    <w:rsid w:val="00323DD7"/>
    <w:rsid w:val="003277B0"/>
    <w:rsid w:val="00334612"/>
    <w:rsid w:val="00334B04"/>
    <w:rsid w:val="00344ABB"/>
    <w:rsid w:val="003450F3"/>
    <w:rsid w:val="003470C1"/>
    <w:rsid w:val="0034740D"/>
    <w:rsid w:val="00347967"/>
    <w:rsid w:val="003479F6"/>
    <w:rsid w:val="003505F0"/>
    <w:rsid w:val="00360F37"/>
    <w:rsid w:val="00362B7D"/>
    <w:rsid w:val="003633DD"/>
    <w:rsid w:val="0036388A"/>
    <w:rsid w:val="00367078"/>
    <w:rsid w:val="0037554E"/>
    <w:rsid w:val="00381CA6"/>
    <w:rsid w:val="00385E29"/>
    <w:rsid w:val="0039425B"/>
    <w:rsid w:val="003A6FF4"/>
    <w:rsid w:val="003B29E7"/>
    <w:rsid w:val="003B4F58"/>
    <w:rsid w:val="003B73FD"/>
    <w:rsid w:val="003B7D8E"/>
    <w:rsid w:val="003C4CCE"/>
    <w:rsid w:val="003D3548"/>
    <w:rsid w:val="003D3A32"/>
    <w:rsid w:val="003D4760"/>
    <w:rsid w:val="003E08A9"/>
    <w:rsid w:val="003E1F8C"/>
    <w:rsid w:val="003E5281"/>
    <w:rsid w:val="003E59A9"/>
    <w:rsid w:val="003E5C30"/>
    <w:rsid w:val="003E6333"/>
    <w:rsid w:val="003E7062"/>
    <w:rsid w:val="003F0BE7"/>
    <w:rsid w:val="003F1767"/>
    <w:rsid w:val="003F412F"/>
    <w:rsid w:val="003F53E5"/>
    <w:rsid w:val="003F5734"/>
    <w:rsid w:val="00407276"/>
    <w:rsid w:val="004104C3"/>
    <w:rsid w:val="004117C0"/>
    <w:rsid w:val="00412B50"/>
    <w:rsid w:val="00412ED5"/>
    <w:rsid w:val="00421561"/>
    <w:rsid w:val="00424457"/>
    <w:rsid w:val="00425C61"/>
    <w:rsid w:val="0042771B"/>
    <w:rsid w:val="00430AA1"/>
    <w:rsid w:val="00431D86"/>
    <w:rsid w:val="00432826"/>
    <w:rsid w:val="0043724E"/>
    <w:rsid w:val="004401FA"/>
    <w:rsid w:val="004405D0"/>
    <w:rsid w:val="004412DF"/>
    <w:rsid w:val="00443FA8"/>
    <w:rsid w:val="00446011"/>
    <w:rsid w:val="00451B71"/>
    <w:rsid w:val="00451CC5"/>
    <w:rsid w:val="00454B7E"/>
    <w:rsid w:val="00461B10"/>
    <w:rsid w:val="00462173"/>
    <w:rsid w:val="0046322A"/>
    <w:rsid w:val="0046362A"/>
    <w:rsid w:val="00463A5E"/>
    <w:rsid w:val="00473913"/>
    <w:rsid w:val="00474EC6"/>
    <w:rsid w:val="004759C0"/>
    <w:rsid w:val="004761BB"/>
    <w:rsid w:val="0047711D"/>
    <w:rsid w:val="004859EE"/>
    <w:rsid w:val="00492318"/>
    <w:rsid w:val="00496DC4"/>
    <w:rsid w:val="004A0A20"/>
    <w:rsid w:val="004A14B1"/>
    <w:rsid w:val="004A230F"/>
    <w:rsid w:val="004A23B3"/>
    <w:rsid w:val="004B0FAD"/>
    <w:rsid w:val="004B201E"/>
    <w:rsid w:val="004C1B61"/>
    <w:rsid w:val="004C71E5"/>
    <w:rsid w:val="004D2F3C"/>
    <w:rsid w:val="004D3618"/>
    <w:rsid w:val="004D398B"/>
    <w:rsid w:val="004D4101"/>
    <w:rsid w:val="004D50EE"/>
    <w:rsid w:val="004E09CB"/>
    <w:rsid w:val="004F014A"/>
    <w:rsid w:val="004F040E"/>
    <w:rsid w:val="0050409C"/>
    <w:rsid w:val="005065DA"/>
    <w:rsid w:val="00507C78"/>
    <w:rsid w:val="005103A0"/>
    <w:rsid w:val="00512BB7"/>
    <w:rsid w:val="00514D2A"/>
    <w:rsid w:val="0052403C"/>
    <w:rsid w:val="00526CFC"/>
    <w:rsid w:val="00527EB5"/>
    <w:rsid w:val="00530AA1"/>
    <w:rsid w:val="00531534"/>
    <w:rsid w:val="00534849"/>
    <w:rsid w:val="00546A0F"/>
    <w:rsid w:val="00557DC4"/>
    <w:rsid w:val="00560221"/>
    <w:rsid w:val="00566690"/>
    <w:rsid w:val="005710CC"/>
    <w:rsid w:val="00583046"/>
    <w:rsid w:val="005842E5"/>
    <w:rsid w:val="0058585B"/>
    <w:rsid w:val="00592B72"/>
    <w:rsid w:val="00597204"/>
    <w:rsid w:val="005A025F"/>
    <w:rsid w:val="005B7074"/>
    <w:rsid w:val="005B722A"/>
    <w:rsid w:val="005C0EC2"/>
    <w:rsid w:val="005C59C7"/>
    <w:rsid w:val="005C64BC"/>
    <w:rsid w:val="005C655D"/>
    <w:rsid w:val="005C670D"/>
    <w:rsid w:val="005C7AF3"/>
    <w:rsid w:val="005C7BDF"/>
    <w:rsid w:val="005D3367"/>
    <w:rsid w:val="005D3D9A"/>
    <w:rsid w:val="005D5A5F"/>
    <w:rsid w:val="005D7A13"/>
    <w:rsid w:val="005E05D8"/>
    <w:rsid w:val="005E1120"/>
    <w:rsid w:val="005E3403"/>
    <w:rsid w:val="005E5CEC"/>
    <w:rsid w:val="005F1C31"/>
    <w:rsid w:val="005F26C5"/>
    <w:rsid w:val="005F313C"/>
    <w:rsid w:val="005F5725"/>
    <w:rsid w:val="006015B5"/>
    <w:rsid w:val="00603F90"/>
    <w:rsid w:val="00621669"/>
    <w:rsid w:val="006221EA"/>
    <w:rsid w:val="0062233B"/>
    <w:rsid w:val="00624275"/>
    <w:rsid w:val="006337A5"/>
    <w:rsid w:val="00640C98"/>
    <w:rsid w:val="00646B60"/>
    <w:rsid w:val="006518C2"/>
    <w:rsid w:val="00656ED4"/>
    <w:rsid w:val="00660EE6"/>
    <w:rsid w:val="0066365D"/>
    <w:rsid w:val="006640C1"/>
    <w:rsid w:val="00665DEE"/>
    <w:rsid w:val="00673C48"/>
    <w:rsid w:val="00682CD8"/>
    <w:rsid w:val="00683F9C"/>
    <w:rsid w:val="0068629E"/>
    <w:rsid w:val="0069791C"/>
    <w:rsid w:val="006A01D6"/>
    <w:rsid w:val="006A0364"/>
    <w:rsid w:val="006A217D"/>
    <w:rsid w:val="006A3319"/>
    <w:rsid w:val="006C0FF3"/>
    <w:rsid w:val="006C5766"/>
    <w:rsid w:val="006C664A"/>
    <w:rsid w:val="006C747C"/>
    <w:rsid w:val="006D511E"/>
    <w:rsid w:val="006E092B"/>
    <w:rsid w:val="006E0FE7"/>
    <w:rsid w:val="006E1471"/>
    <w:rsid w:val="006E1919"/>
    <w:rsid w:val="006E360F"/>
    <w:rsid w:val="006F3792"/>
    <w:rsid w:val="00700C28"/>
    <w:rsid w:val="00710557"/>
    <w:rsid w:val="00710D3E"/>
    <w:rsid w:val="007119D3"/>
    <w:rsid w:val="00713289"/>
    <w:rsid w:val="00713588"/>
    <w:rsid w:val="0071716F"/>
    <w:rsid w:val="007246BD"/>
    <w:rsid w:val="00731ECA"/>
    <w:rsid w:val="00732B8A"/>
    <w:rsid w:val="007350A7"/>
    <w:rsid w:val="0073771B"/>
    <w:rsid w:val="00740A9A"/>
    <w:rsid w:val="00757FE2"/>
    <w:rsid w:val="0076066E"/>
    <w:rsid w:val="00762341"/>
    <w:rsid w:val="0076292E"/>
    <w:rsid w:val="00764C97"/>
    <w:rsid w:val="00777472"/>
    <w:rsid w:val="007843BB"/>
    <w:rsid w:val="00785EBC"/>
    <w:rsid w:val="00786B78"/>
    <w:rsid w:val="0079079C"/>
    <w:rsid w:val="007907B0"/>
    <w:rsid w:val="00790900"/>
    <w:rsid w:val="00792518"/>
    <w:rsid w:val="0079317A"/>
    <w:rsid w:val="0079533D"/>
    <w:rsid w:val="007A0860"/>
    <w:rsid w:val="007A63FF"/>
    <w:rsid w:val="007A7823"/>
    <w:rsid w:val="007D578C"/>
    <w:rsid w:val="007D66AB"/>
    <w:rsid w:val="007E163D"/>
    <w:rsid w:val="007E3BB1"/>
    <w:rsid w:val="007F024E"/>
    <w:rsid w:val="007F1966"/>
    <w:rsid w:val="007F4CE1"/>
    <w:rsid w:val="00803F23"/>
    <w:rsid w:val="0080649E"/>
    <w:rsid w:val="00806BE5"/>
    <w:rsid w:val="0081175C"/>
    <w:rsid w:val="008145C6"/>
    <w:rsid w:val="008146E6"/>
    <w:rsid w:val="00816800"/>
    <w:rsid w:val="008207D6"/>
    <w:rsid w:val="00835828"/>
    <w:rsid w:val="00843C80"/>
    <w:rsid w:val="0085077F"/>
    <w:rsid w:val="00875A1C"/>
    <w:rsid w:val="00877745"/>
    <w:rsid w:val="00880EF5"/>
    <w:rsid w:val="00887176"/>
    <w:rsid w:val="008901C2"/>
    <w:rsid w:val="0089037F"/>
    <w:rsid w:val="008966D8"/>
    <w:rsid w:val="008A4A9A"/>
    <w:rsid w:val="008B45C6"/>
    <w:rsid w:val="008B52F7"/>
    <w:rsid w:val="008C134C"/>
    <w:rsid w:val="008C406A"/>
    <w:rsid w:val="008C5B95"/>
    <w:rsid w:val="008C5F2F"/>
    <w:rsid w:val="008C714E"/>
    <w:rsid w:val="008D05C9"/>
    <w:rsid w:val="008D2F37"/>
    <w:rsid w:val="008D3060"/>
    <w:rsid w:val="008D62DF"/>
    <w:rsid w:val="008E0379"/>
    <w:rsid w:val="008E37E1"/>
    <w:rsid w:val="008F40F7"/>
    <w:rsid w:val="008F52EE"/>
    <w:rsid w:val="008F536E"/>
    <w:rsid w:val="008F5C18"/>
    <w:rsid w:val="0090158A"/>
    <w:rsid w:val="00902C82"/>
    <w:rsid w:val="00904BC3"/>
    <w:rsid w:val="00904F52"/>
    <w:rsid w:val="0090751C"/>
    <w:rsid w:val="009110A8"/>
    <w:rsid w:val="00912BA5"/>
    <w:rsid w:val="00922F3A"/>
    <w:rsid w:val="00923849"/>
    <w:rsid w:val="00930C1D"/>
    <w:rsid w:val="00934498"/>
    <w:rsid w:val="00940569"/>
    <w:rsid w:val="00943020"/>
    <w:rsid w:val="00943D0B"/>
    <w:rsid w:val="009459A2"/>
    <w:rsid w:val="00946009"/>
    <w:rsid w:val="00951E27"/>
    <w:rsid w:val="009520D1"/>
    <w:rsid w:val="009538F6"/>
    <w:rsid w:val="00957093"/>
    <w:rsid w:val="00964656"/>
    <w:rsid w:val="00966EC5"/>
    <w:rsid w:val="009670A0"/>
    <w:rsid w:val="009671D2"/>
    <w:rsid w:val="00967E4F"/>
    <w:rsid w:val="00972573"/>
    <w:rsid w:val="00973526"/>
    <w:rsid w:val="0097388E"/>
    <w:rsid w:val="00976FB3"/>
    <w:rsid w:val="00977A24"/>
    <w:rsid w:val="00980761"/>
    <w:rsid w:val="009866C5"/>
    <w:rsid w:val="00987E0D"/>
    <w:rsid w:val="00996671"/>
    <w:rsid w:val="009A02F2"/>
    <w:rsid w:val="009A1AB7"/>
    <w:rsid w:val="009A60A8"/>
    <w:rsid w:val="009A7467"/>
    <w:rsid w:val="009A7D0A"/>
    <w:rsid w:val="009B39DD"/>
    <w:rsid w:val="009B5026"/>
    <w:rsid w:val="009B620A"/>
    <w:rsid w:val="009C6BAD"/>
    <w:rsid w:val="009E14FC"/>
    <w:rsid w:val="009E2841"/>
    <w:rsid w:val="009E3DA0"/>
    <w:rsid w:val="009E78D0"/>
    <w:rsid w:val="009F2EFC"/>
    <w:rsid w:val="009F7C31"/>
    <w:rsid w:val="00A0785C"/>
    <w:rsid w:val="00A11F0F"/>
    <w:rsid w:val="00A12BD4"/>
    <w:rsid w:val="00A12D70"/>
    <w:rsid w:val="00A221DB"/>
    <w:rsid w:val="00A27F2F"/>
    <w:rsid w:val="00A3166B"/>
    <w:rsid w:val="00A31B73"/>
    <w:rsid w:val="00A33FE7"/>
    <w:rsid w:val="00A34469"/>
    <w:rsid w:val="00A40FB9"/>
    <w:rsid w:val="00A43BDD"/>
    <w:rsid w:val="00A521A5"/>
    <w:rsid w:val="00A5537C"/>
    <w:rsid w:val="00A6235F"/>
    <w:rsid w:val="00A64042"/>
    <w:rsid w:val="00A70756"/>
    <w:rsid w:val="00A73B3E"/>
    <w:rsid w:val="00A76429"/>
    <w:rsid w:val="00A77EA2"/>
    <w:rsid w:val="00A8004C"/>
    <w:rsid w:val="00A820EB"/>
    <w:rsid w:val="00A875F8"/>
    <w:rsid w:val="00A90A2F"/>
    <w:rsid w:val="00A95970"/>
    <w:rsid w:val="00A97619"/>
    <w:rsid w:val="00A97EBA"/>
    <w:rsid w:val="00AA11FC"/>
    <w:rsid w:val="00AA1F1D"/>
    <w:rsid w:val="00AA5355"/>
    <w:rsid w:val="00AA72B4"/>
    <w:rsid w:val="00AB15A4"/>
    <w:rsid w:val="00AB46C8"/>
    <w:rsid w:val="00AC0E1F"/>
    <w:rsid w:val="00AC67D4"/>
    <w:rsid w:val="00AD4A73"/>
    <w:rsid w:val="00AD5ED3"/>
    <w:rsid w:val="00AE2198"/>
    <w:rsid w:val="00AE25D8"/>
    <w:rsid w:val="00AE3E03"/>
    <w:rsid w:val="00AE6211"/>
    <w:rsid w:val="00AF1156"/>
    <w:rsid w:val="00AF5B46"/>
    <w:rsid w:val="00AF6555"/>
    <w:rsid w:val="00B022CB"/>
    <w:rsid w:val="00B0241C"/>
    <w:rsid w:val="00B02F0F"/>
    <w:rsid w:val="00B059F4"/>
    <w:rsid w:val="00B14DB3"/>
    <w:rsid w:val="00B15520"/>
    <w:rsid w:val="00B178C6"/>
    <w:rsid w:val="00B17D12"/>
    <w:rsid w:val="00B24C31"/>
    <w:rsid w:val="00B45B06"/>
    <w:rsid w:val="00B57653"/>
    <w:rsid w:val="00B57E39"/>
    <w:rsid w:val="00B65E33"/>
    <w:rsid w:val="00B6644E"/>
    <w:rsid w:val="00B71384"/>
    <w:rsid w:val="00B7211D"/>
    <w:rsid w:val="00B7552E"/>
    <w:rsid w:val="00B81B6E"/>
    <w:rsid w:val="00B84A70"/>
    <w:rsid w:val="00B9015E"/>
    <w:rsid w:val="00B9062C"/>
    <w:rsid w:val="00B93609"/>
    <w:rsid w:val="00BA2BF8"/>
    <w:rsid w:val="00BA5AB2"/>
    <w:rsid w:val="00BA7EFB"/>
    <w:rsid w:val="00BB5217"/>
    <w:rsid w:val="00BB6308"/>
    <w:rsid w:val="00BB65CC"/>
    <w:rsid w:val="00BB7C20"/>
    <w:rsid w:val="00BB7EDC"/>
    <w:rsid w:val="00BC0202"/>
    <w:rsid w:val="00BD4B1F"/>
    <w:rsid w:val="00BD4DAD"/>
    <w:rsid w:val="00BE0341"/>
    <w:rsid w:val="00BE3A60"/>
    <w:rsid w:val="00BE7F96"/>
    <w:rsid w:val="00BF438E"/>
    <w:rsid w:val="00BF4E82"/>
    <w:rsid w:val="00BF670F"/>
    <w:rsid w:val="00C0550D"/>
    <w:rsid w:val="00C05F32"/>
    <w:rsid w:val="00C14B5E"/>
    <w:rsid w:val="00C15C35"/>
    <w:rsid w:val="00C15EB1"/>
    <w:rsid w:val="00C22D88"/>
    <w:rsid w:val="00C26848"/>
    <w:rsid w:val="00C27358"/>
    <w:rsid w:val="00C3123B"/>
    <w:rsid w:val="00C33F45"/>
    <w:rsid w:val="00C427C7"/>
    <w:rsid w:val="00C42B20"/>
    <w:rsid w:val="00C44657"/>
    <w:rsid w:val="00C469FA"/>
    <w:rsid w:val="00C46BF8"/>
    <w:rsid w:val="00C536CB"/>
    <w:rsid w:val="00C55E6D"/>
    <w:rsid w:val="00C5765C"/>
    <w:rsid w:val="00C60A78"/>
    <w:rsid w:val="00C63489"/>
    <w:rsid w:val="00C71370"/>
    <w:rsid w:val="00C73D15"/>
    <w:rsid w:val="00C76C04"/>
    <w:rsid w:val="00C80C6A"/>
    <w:rsid w:val="00C8305A"/>
    <w:rsid w:val="00C84BBF"/>
    <w:rsid w:val="00C860D6"/>
    <w:rsid w:val="00C8732C"/>
    <w:rsid w:val="00C92799"/>
    <w:rsid w:val="00C93478"/>
    <w:rsid w:val="00CA0F11"/>
    <w:rsid w:val="00CA20FB"/>
    <w:rsid w:val="00CA3895"/>
    <w:rsid w:val="00CA547A"/>
    <w:rsid w:val="00CB765D"/>
    <w:rsid w:val="00CC4C62"/>
    <w:rsid w:val="00CD16F1"/>
    <w:rsid w:val="00CD2D27"/>
    <w:rsid w:val="00CD47A4"/>
    <w:rsid w:val="00CD6FE7"/>
    <w:rsid w:val="00CE78AC"/>
    <w:rsid w:val="00CF4047"/>
    <w:rsid w:val="00D026E1"/>
    <w:rsid w:val="00D02F84"/>
    <w:rsid w:val="00D04C70"/>
    <w:rsid w:val="00D0756D"/>
    <w:rsid w:val="00D076B6"/>
    <w:rsid w:val="00D07EF6"/>
    <w:rsid w:val="00D11D71"/>
    <w:rsid w:val="00D1377D"/>
    <w:rsid w:val="00D1645C"/>
    <w:rsid w:val="00D219A6"/>
    <w:rsid w:val="00D21A98"/>
    <w:rsid w:val="00D254F0"/>
    <w:rsid w:val="00D2727F"/>
    <w:rsid w:val="00D27D81"/>
    <w:rsid w:val="00D308A9"/>
    <w:rsid w:val="00D31BFE"/>
    <w:rsid w:val="00D3205E"/>
    <w:rsid w:val="00D3359B"/>
    <w:rsid w:val="00D37A04"/>
    <w:rsid w:val="00D418A4"/>
    <w:rsid w:val="00D42674"/>
    <w:rsid w:val="00D547FC"/>
    <w:rsid w:val="00D55963"/>
    <w:rsid w:val="00D6656E"/>
    <w:rsid w:val="00D710BD"/>
    <w:rsid w:val="00D720C1"/>
    <w:rsid w:val="00D849C7"/>
    <w:rsid w:val="00D84F15"/>
    <w:rsid w:val="00D85DD2"/>
    <w:rsid w:val="00D93212"/>
    <w:rsid w:val="00D9490D"/>
    <w:rsid w:val="00D9522C"/>
    <w:rsid w:val="00D97832"/>
    <w:rsid w:val="00DA1680"/>
    <w:rsid w:val="00DA2FC8"/>
    <w:rsid w:val="00DA6997"/>
    <w:rsid w:val="00DB41A0"/>
    <w:rsid w:val="00DC3CA6"/>
    <w:rsid w:val="00DC5D4A"/>
    <w:rsid w:val="00DD020B"/>
    <w:rsid w:val="00DD0E8E"/>
    <w:rsid w:val="00DE07B3"/>
    <w:rsid w:val="00DE3C93"/>
    <w:rsid w:val="00DE76FB"/>
    <w:rsid w:val="00DF1798"/>
    <w:rsid w:val="00DF464A"/>
    <w:rsid w:val="00DF789F"/>
    <w:rsid w:val="00E0413E"/>
    <w:rsid w:val="00E07F6C"/>
    <w:rsid w:val="00E15C0E"/>
    <w:rsid w:val="00E1604B"/>
    <w:rsid w:val="00E16FEA"/>
    <w:rsid w:val="00E24F39"/>
    <w:rsid w:val="00E2548D"/>
    <w:rsid w:val="00E25CE4"/>
    <w:rsid w:val="00E26A23"/>
    <w:rsid w:val="00E31DED"/>
    <w:rsid w:val="00E347A0"/>
    <w:rsid w:val="00E5254D"/>
    <w:rsid w:val="00E52B46"/>
    <w:rsid w:val="00E53606"/>
    <w:rsid w:val="00E568EE"/>
    <w:rsid w:val="00E675D4"/>
    <w:rsid w:val="00E70661"/>
    <w:rsid w:val="00E72E76"/>
    <w:rsid w:val="00E74355"/>
    <w:rsid w:val="00E74A00"/>
    <w:rsid w:val="00E75D86"/>
    <w:rsid w:val="00E8268B"/>
    <w:rsid w:val="00E909E1"/>
    <w:rsid w:val="00E91ADF"/>
    <w:rsid w:val="00E937A9"/>
    <w:rsid w:val="00E9469A"/>
    <w:rsid w:val="00EA0032"/>
    <w:rsid w:val="00EA0259"/>
    <w:rsid w:val="00EA54A8"/>
    <w:rsid w:val="00EA60FD"/>
    <w:rsid w:val="00EA69B3"/>
    <w:rsid w:val="00EA7A82"/>
    <w:rsid w:val="00EA7F6D"/>
    <w:rsid w:val="00EC284C"/>
    <w:rsid w:val="00EC3A2E"/>
    <w:rsid w:val="00EC65A2"/>
    <w:rsid w:val="00ED2EE9"/>
    <w:rsid w:val="00ED7927"/>
    <w:rsid w:val="00EE33F6"/>
    <w:rsid w:val="00EE4233"/>
    <w:rsid w:val="00EF41F7"/>
    <w:rsid w:val="00EF664F"/>
    <w:rsid w:val="00EF6F47"/>
    <w:rsid w:val="00F00E17"/>
    <w:rsid w:val="00F02679"/>
    <w:rsid w:val="00F02A20"/>
    <w:rsid w:val="00F02F23"/>
    <w:rsid w:val="00F07B85"/>
    <w:rsid w:val="00F163B2"/>
    <w:rsid w:val="00F204D1"/>
    <w:rsid w:val="00F2065F"/>
    <w:rsid w:val="00F2360F"/>
    <w:rsid w:val="00F26FAF"/>
    <w:rsid w:val="00F3098F"/>
    <w:rsid w:val="00F32A73"/>
    <w:rsid w:val="00F41100"/>
    <w:rsid w:val="00F4192E"/>
    <w:rsid w:val="00F45837"/>
    <w:rsid w:val="00F51F33"/>
    <w:rsid w:val="00F529AC"/>
    <w:rsid w:val="00F65981"/>
    <w:rsid w:val="00F67EF6"/>
    <w:rsid w:val="00F70BD2"/>
    <w:rsid w:val="00F77F0F"/>
    <w:rsid w:val="00F85D82"/>
    <w:rsid w:val="00F85E5F"/>
    <w:rsid w:val="00F91B05"/>
    <w:rsid w:val="00F92F8B"/>
    <w:rsid w:val="00F97862"/>
    <w:rsid w:val="00FA139C"/>
    <w:rsid w:val="00FA1B62"/>
    <w:rsid w:val="00FA3671"/>
    <w:rsid w:val="00FA47C3"/>
    <w:rsid w:val="00FA47E1"/>
    <w:rsid w:val="00FA650D"/>
    <w:rsid w:val="00FA779C"/>
    <w:rsid w:val="00FB17D2"/>
    <w:rsid w:val="00FB44A0"/>
    <w:rsid w:val="00FB5EC6"/>
    <w:rsid w:val="00FC1189"/>
    <w:rsid w:val="00FC1CB7"/>
    <w:rsid w:val="00FC345A"/>
    <w:rsid w:val="00FD1B87"/>
    <w:rsid w:val="00FD4DC5"/>
    <w:rsid w:val="00FD71AB"/>
    <w:rsid w:val="00FE0DF4"/>
    <w:rsid w:val="00FF1F5B"/>
    <w:rsid w:val="00FF3807"/>
    <w:rsid w:val="00FF6C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CD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8F5C18"/>
    <w:pPr>
      <w:keepNext/>
      <w:keepLines/>
      <w:numPr>
        <w:numId w:val="1"/>
      </w:numPr>
      <w:tabs>
        <w:tab w:val="left" w:pos="284"/>
      </w:tabs>
      <w:spacing w:before="240" w:after="0"/>
      <w:outlineLvl w:val="0"/>
    </w:pPr>
    <w:rPr>
      <w:rFonts w:ascii="Cambria" w:eastAsia="Times New Roman" w:hAnsi="Cambria"/>
      <w:b/>
      <w:color w:val="365F91"/>
      <w:sz w:val="32"/>
      <w:szCs w:val="32"/>
    </w:rPr>
  </w:style>
  <w:style w:type="paragraph" w:styleId="Heading2">
    <w:name w:val="heading 2"/>
    <w:basedOn w:val="Normal"/>
    <w:link w:val="Heading2Char"/>
    <w:uiPriority w:val="9"/>
    <w:qFormat/>
    <w:rsid w:val="000A77B0"/>
    <w:pPr>
      <w:spacing w:before="100" w:beforeAutospacing="1" w:after="100" w:afterAutospacing="1" w:line="240" w:lineRule="auto"/>
      <w:outlineLvl w:val="1"/>
    </w:pPr>
    <w:rPr>
      <w:rFonts w:ascii="Times New Roman" w:eastAsia="Times New Roman" w:hAnsi="Times New Roman"/>
      <w:b/>
      <w:bCs/>
      <w:sz w:val="36"/>
      <w:szCs w:val="36"/>
      <w:lang w:eastAsia="es-CO"/>
    </w:rPr>
  </w:style>
  <w:style w:type="paragraph" w:styleId="Heading3">
    <w:name w:val="heading 3"/>
    <w:basedOn w:val="Normal"/>
    <w:next w:val="Normal"/>
    <w:link w:val="Heading3Char"/>
    <w:uiPriority w:val="9"/>
    <w:unhideWhenUsed/>
    <w:qFormat/>
    <w:rsid w:val="00075D29"/>
    <w:pPr>
      <w:keepNext/>
      <w:keepLines/>
      <w:spacing w:before="40" w:after="0"/>
      <w:outlineLvl w:val="2"/>
    </w:pPr>
    <w:rPr>
      <w:rFonts w:ascii="Cambria" w:eastAsia="Times New Roman" w:hAnsi="Cambria"/>
      <w:color w:val="243F60"/>
      <w:sz w:val="24"/>
      <w:szCs w:val="24"/>
    </w:rPr>
  </w:style>
  <w:style w:type="paragraph" w:styleId="Heading9">
    <w:name w:val="heading 9"/>
    <w:basedOn w:val="Normal"/>
    <w:next w:val="Normal"/>
    <w:link w:val="Heading9Char"/>
    <w:qFormat/>
    <w:rsid w:val="00DA6997"/>
    <w:pPr>
      <w:keepNext/>
      <w:spacing w:after="0" w:line="240" w:lineRule="auto"/>
      <w:jc w:val="center"/>
      <w:outlineLvl w:val="8"/>
    </w:pPr>
    <w:rPr>
      <w:rFonts w:ascii="Arial" w:eastAsia="Times New Roman" w:hAnsi="Arial"/>
      <w:b/>
      <w:color w:val="000080"/>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Lista vistosa - Énfasis 11,HOJA,Bolita,Párrafo de lista4,BOLADEF,Párrafo de lista21,BOLA,Nivel 1 OS,Colorful List Accent 1,Colorful List - Accent 11,Dot pt,No Spacing1,List Paragraph Char Char Char,Indicator Text,List1"/>
    <w:basedOn w:val="Normal"/>
    <w:link w:val="ListParagraphChar"/>
    <w:uiPriority w:val="34"/>
    <w:qFormat/>
    <w:rsid w:val="009A1AB7"/>
    <w:pPr>
      <w:ind w:left="720"/>
      <w:contextualSpacing/>
    </w:pPr>
  </w:style>
  <w:style w:type="table" w:styleId="TableGrid">
    <w:name w:val="Table Grid"/>
    <w:basedOn w:val="TableNormal"/>
    <w:uiPriority w:val="59"/>
    <w:rsid w:val="00EF6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086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0866"/>
    <w:rPr>
      <w:rFonts w:ascii="Tahoma" w:hAnsi="Tahoma" w:cs="Tahoma"/>
      <w:sz w:val="16"/>
      <w:szCs w:val="16"/>
    </w:rPr>
  </w:style>
  <w:style w:type="paragraph" w:styleId="NormalWeb">
    <w:name w:val="Normal (Web)"/>
    <w:basedOn w:val="Normal"/>
    <w:uiPriority w:val="99"/>
    <w:unhideWhenUsed/>
    <w:rsid w:val="00100AE7"/>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Heading2Char">
    <w:name w:val="Heading 2 Char"/>
    <w:link w:val="Heading2"/>
    <w:uiPriority w:val="9"/>
    <w:rsid w:val="000A77B0"/>
    <w:rPr>
      <w:rFonts w:ascii="Times New Roman" w:eastAsia="Times New Roman" w:hAnsi="Times New Roman" w:cs="Times New Roman"/>
      <w:b/>
      <w:bCs/>
      <w:sz w:val="36"/>
      <w:szCs w:val="36"/>
      <w:lang w:eastAsia="es-CO"/>
    </w:rPr>
  </w:style>
  <w:style w:type="paragraph" w:styleId="FootnoteText">
    <w:name w:val="footnote text"/>
    <w:aliases w:val="fn, Car,Car Car,ft,Car,Style 50,FT,Footnote Text Char1 Char Char,Footnote Text Char Char1 Char Char,FT Char Char1 Char Char,fn Char Char Char Char,Footnote Text Char Char1,FT Char Char1,Footnote Text Char1,Footnote Text Char Char,1,Char"/>
    <w:basedOn w:val="Normal"/>
    <w:link w:val="FootnoteTextChar"/>
    <w:unhideWhenUsed/>
    <w:rsid w:val="00347967"/>
    <w:pPr>
      <w:spacing w:after="0" w:line="240" w:lineRule="auto"/>
    </w:pPr>
    <w:rPr>
      <w:sz w:val="20"/>
      <w:szCs w:val="20"/>
    </w:rPr>
  </w:style>
  <w:style w:type="character" w:customStyle="1" w:styleId="FootnoteTextChar">
    <w:name w:val="Footnote Text Char"/>
    <w:aliases w:val="fn Char, Car Char,Car Car Char,ft Char,Car Char,Style 50 Char,FT Char,Footnote Text Char1 Char Char Char,Footnote Text Char Char1 Char Char Char,FT Char Char1 Char Char Char,fn Char Char Char Char Char,Footnote Text Char Char1 Char"/>
    <w:link w:val="FootnoteText"/>
    <w:uiPriority w:val="99"/>
    <w:rsid w:val="00347967"/>
    <w:rPr>
      <w:sz w:val="20"/>
      <w:szCs w:val="20"/>
    </w:rPr>
  </w:style>
  <w:style w:type="character" w:styleId="FootnoteReference">
    <w:name w:val="footnote reference"/>
    <w:aliases w:val="fr,referencia nota al pie,Style 49,Footnote Reference new,Style 18,Footnote ReferenceW,Style 13,Ref,de nota al pie,Ref. de nota al pie.,Ref1,Footnote symbol,Footnote,FC,Texto de nota al pie,BVI fnr,Ref. de nota al pie2,Nota de pie"/>
    <w:unhideWhenUsed/>
    <w:rsid w:val="00347967"/>
    <w:rPr>
      <w:vertAlign w:val="superscript"/>
    </w:rPr>
  </w:style>
  <w:style w:type="character" w:customStyle="1" w:styleId="apple-converted-space">
    <w:name w:val="apple-converted-space"/>
    <w:basedOn w:val="DefaultParagraphFont"/>
    <w:rsid w:val="00412ED5"/>
  </w:style>
  <w:style w:type="paragraph" w:styleId="NoSpacing">
    <w:name w:val="No Spacing"/>
    <w:link w:val="NoSpacingChar"/>
    <w:uiPriority w:val="1"/>
    <w:qFormat/>
    <w:rsid w:val="00A521A5"/>
    <w:rPr>
      <w:sz w:val="22"/>
      <w:szCs w:val="22"/>
      <w:lang w:eastAsia="en-US"/>
    </w:rPr>
  </w:style>
  <w:style w:type="character" w:customStyle="1" w:styleId="Heading1Char">
    <w:name w:val="Heading 1 Char"/>
    <w:link w:val="Heading1"/>
    <w:uiPriority w:val="9"/>
    <w:rsid w:val="008F5C18"/>
    <w:rPr>
      <w:rFonts w:ascii="Cambria" w:eastAsia="Times New Roman" w:hAnsi="Cambria"/>
      <w:b/>
      <w:color w:val="365F91"/>
      <w:sz w:val="32"/>
      <w:szCs w:val="32"/>
      <w:lang w:eastAsia="en-US"/>
    </w:rPr>
  </w:style>
  <w:style w:type="character" w:customStyle="1" w:styleId="Heading3Char">
    <w:name w:val="Heading 3 Char"/>
    <w:link w:val="Heading3"/>
    <w:uiPriority w:val="9"/>
    <w:rsid w:val="00075D29"/>
    <w:rPr>
      <w:rFonts w:ascii="Cambria" w:eastAsia="Times New Roman" w:hAnsi="Cambria" w:cs="Times New Roman"/>
      <w:color w:val="243F60"/>
      <w:sz w:val="24"/>
      <w:szCs w:val="24"/>
    </w:rPr>
  </w:style>
  <w:style w:type="table" w:customStyle="1" w:styleId="Sombreadoclaro-nfasis11">
    <w:name w:val="Sombreado claro - Énfasis 11"/>
    <w:basedOn w:val="TableNormal"/>
    <w:uiPriority w:val="60"/>
    <w:rsid w:val="00BE3A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BE3A6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Heading9Char">
    <w:name w:val="Heading 9 Char"/>
    <w:link w:val="Heading9"/>
    <w:rsid w:val="00DA6997"/>
    <w:rPr>
      <w:rFonts w:ascii="Arial" w:eastAsia="Times New Roman" w:hAnsi="Arial" w:cs="Times New Roman"/>
      <w:b/>
      <w:color w:val="000080"/>
      <w:sz w:val="28"/>
      <w:szCs w:val="20"/>
      <w:lang w:val="es-ES" w:eastAsia="es-ES"/>
    </w:rPr>
  </w:style>
  <w:style w:type="character" w:customStyle="1" w:styleId="ListParagraphChar">
    <w:name w:val="List Paragraph Char"/>
    <w:aliases w:val="titulo 3 Char,Bullet Char,Lista vistosa - Énfasis 11 Char,HOJA Char,Bolita Char,Párrafo de lista4 Char,BOLADEF Char,Párrafo de lista21 Char,BOLA Char,Nivel 1 OS Char,Colorful List Accent 1 Char,Colorful List - Accent 11 Char"/>
    <w:link w:val="ListParagraph"/>
    <w:uiPriority w:val="34"/>
    <w:locked/>
    <w:rsid w:val="00DA6997"/>
  </w:style>
  <w:style w:type="paragraph" w:styleId="Header">
    <w:name w:val="header"/>
    <w:basedOn w:val="Normal"/>
    <w:link w:val="HeaderChar"/>
    <w:uiPriority w:val="99"/>
    <w:unhideWhenUsed/>
    <w:rsid w:val="00BF67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BF670F"/>
  </w:style>
  <w:style w:type="paragraph" w:styleId="Footer">
    <w:name w:val="footer"/>
    <w:basedOn w:val="Normal"/>
    <w:link w:val="FooterChar"/>
    <w:uiPriority w:val="99"/>
    <w:unhideWhenUsed/>
    <w:rsid w:val="00BF67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BF670F"/>
  </w:style>
  <w:style w:type="table" w:customStyle="1" w:styleId="Tabladecuadrcula7concolores-nfasis11">
    <w:name w:val="Tabla de cuadrícula 7 con colores - Énfasis 11"/>
    <w:basedOn w:val="TableNormal"/>
    <w:uiPriority w:val="52"/>
    <w:rsid w:val="00D9522C"/>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paragraph" w:styleId="PlainText">
    <w:name w:val="Plain Text"/>
    <w:basedOn w:val="Normal"/>
    <w:link w:val="PlainTextChar"/>
    <w:uiPriority w:val="99"/>
    <w:semiHidden/>
    <w:unhideWhenUsed/>
    <w:rsid w:val="00454B7E"/>
    <w:pPr>
      <w:spacing w:after="0" w:line="240" w:lineRule="auto"/>
    </w:pPr>
    <w:rPr>
      <w:szCs w:val="21"/>
    </w:rPr>
  </w:style>
  <w:style w:type="character" w:customStyle="1" w:styleId="PlainTextChar">
    <w:name w:val="Plain Text Char"/>
    <w:link w:val="PlainText"/>
    <w:uiPriority w:val="99"/>
    <w:semiHidden/>
    <w:rsid w:val="00454B7E"/>
    <w:rPr>
      <w:rFonts w:ascii="Calibri" w:hAnsi="Calibri"/>
      <w:szCs w:val="21"/>
    </w:rPr>
  </w:style>
  <w:style w:type="paragraph" w:customStyle="1" w:styleId="default">
    <w:name w:val="default"/>
    <w:basedOn w:val="Normal"/>
    <w:rsid w:val="00D07EF6"/>
    <w:pPr>
      <w:spacing w:before="100" w:beforeAutospacing="1" w:after="100" w:afterAutospacing="1" w:line="240" w:lineRule="auto"/>
    </w:pPr>
    <w:rPr>
      <w:rFonts w:ascii="Times New Roman" w:eastAsia="Times New Roman" w:hAnsi="Times New Roman"/>
      <w:sz w:val="24"/>
      <w:szCs w:val="24"/>
      <w:lang w:eastAsia="es-CO"/>
    </w:rPr>
  </w:style>
  <w:style w:type="paragraph" w:styleId="TOCHeading">
    <w:name w:val="TOC Heading"/>
    <w:basedOn w:val="Heading1"/>
    <w:next w:val="Normal"/>
    <w:uiPriority w:val="39"/>
    <w:unhideWhenUsed/>
    <w:qFormat/>
    <w:rsid w:val="008F5C18"/>
    <w:pPr>
      <w:numPr>
        <w:numId w:val="0"/>
      </w:numPr>
      <w:tabs>
        <w:tab w:val="clear" w:pos="284"/>
      </w:tabs>
      <w:spacing w:before="480"/>
      <w:outlineLvl w:val="9"/>
    </w:pPr>
    <w:rPr>
      <w:bCs/>
      <w:sz w:val="28"/>
      <w:szCs w:val="28"/>
      <w:lang w:eastAsia="es-CO"/>
    </w:rPr>
  </w:style>
  <w:style w:type="paragraph" w:styleId="TOC2">
    <w:name w:val="toc 2"/>
    <w:basedOn w:val="Normal"/>
    <w:next w:val="Normal"/>
    <w:autoRedefine/>
    <w:uiPriority w:val="39"/>
    <w:unhideWhenUsed/>
    <w:rsid w:val="008F5C18"/>
    <w:pPr>
      <w:spacing w:after="100"/>
      <w:ind w:left="220"/>
    </w:pPr>
  </w:style>
  <w:style w:type="paragraph" w:styleId="TOC1">
    <w:name w:val="toc 1"/>
    <w:basedOn w:val="Normal"/>
    <w:next w:val="Normal"/>
    <w:autoRedefine/>
    <w:uiPriority w:val="39"/>
    <w:unhideWhenUsed/>
    <w:rsid w:val="008F5C18"/>
    <w:pPr>
      <w:spacing w:after="100"/>
    </w:pPr>
  </w:style>
  <w:style w:type="paragraph" w:styleId="TOC3">
    <w:name w:val="toc 3"/>
    <w:basedOn w:val="Normal"/>
    <w:next w:val="Normal"/>
    <w:autoRedefine/>
    <w:uiPriority w:val="39"/>
    <w:unhideWhenUsed/>
    <w:rsid w:val="008F5C18"/>
    <w:pPr>
      <w:spacing w:after="100"/>
      <w:ind w:left="440"/>
    </w:pPr>
  </w:style>
  <w:style w:type="character" w:styleId="Hyperlink">
    <w:name w:val="Hyperlink"/>
    <w:uiPriority w:val="99"/>
    <w:unhideWhenUsed/>
    <w:rsid w:val="008F5C18"/>
    <w:rPr>
      <w:color w:val="0000FF"/>
      <w:u w:val="single"/>
    </w:rPr>
  </w:style>
  <w:style w:type="character" w:styleId="Strong">
    <w:name w:val="Strong"/>
    <w:uiPriority w:val="22"/>
    <w:qFormat/>
    <w:rsid w:val="008D62DF"/>
    <w:rPr>
      <w:b/>
      <w:bCs/>
    </w:rPr>
  </w:style>
  <w:style w:type="character" w:styleId="Emphasis">
    <w:name w:val="Emphasis"/>
    <w:uiPriority w:val="20"/>
    <w:qFormat/>
    <w:rsid w:val="008D62DF"/>
    <w:rPr>
      <w:i/>
      <w:iCs/>
    </w:rPr>
  </w:style>
  <w:style w:type="table" w:customStyle="1" w:styleId="Listamedia1-nfasis11">
    <w:name w:val="Lista media 1 - Énfasis 11"/>
    <w:basedOn w:val="TableNormal"/>
    <w:uiPriority w:val="65"/>
    <w:rsid w:val="003B73FD"/>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Title">
    <w:name w:val="Title"/>
    <w:basedOn w:val="Normal"/>
    <w:next w:val="Normal"/>
    <w:link w:val="TitleChar"/>
    <w:uiPriority w:val="10"/>
    <w:qFormat/>
    <w:rsid w:val="00CD2D27"/>
    <w:pPr>
      <w:pBdr>
        <w:bottom w:val="single" w:sz="8" w:space="4" w:color="4F81BD" w:themeColor="accent1"/>
      </w:pBdr>
      <w:spacing w:after="300" w:line="240" w:lineRule="auto"/>
      <w:contextualSpacing/>
    </w:pPr>
    <w:rPr>
      <w:rFonts w:ascii="Helvetica" w:eastAsiaTheme="majorEastAsia" w:hAnsi="Helvetic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CD2D27"/>
    <w:rPr>
      <w:rFonts w:ascii="Helvetica" w:eastAsiaTheme="majorEastAsia" w:hAnsi="Helvetica" w:cstheme="majorBidi"/>
      <w:b/>
      <w:color w:val="17365D" w:themeColor="text2" w:themeShade="BF"/>
      <w:spacing w:val="5"/>
      <w:kern w:val="28"/>
      <w:sz w:val="52"/>
      <w:szCs w:val="52"/>
      <w:lang w:eastAsia="en-US"/>
    </w:rPr>
  </w:style>
  <w:style w:type="character" w:customStyle="1" w:styleId="NoSpacingChar">
    <w:name w:val="No Spacing Char"/>
    <w:basedOn w:val="DefaultParagraphFont"/>
    <w:link w:val="NoSpacing"/>
    <w:uiPriority w:val="1"/>
    <w:rsid w:val="00B14DB3"/>
    <w:rPr>
      <w:sz w:val="22"/>
      <w:szCs w:val="22"/>
      <w:lang w:eastAsia="en-US"/>
    </w:rPr>
  </w:style>
  <w:style w:type="character" w:styleId="FollowedHyperlink">
    <w:name w:val="FollowedHyperlink"/>
    <w:basedOn w:val="DefaultParagraphFont"/>
    <w:uiPriority w:val="99"/>
    <w:semiHidden/>
    <w:unhideWhenUsed/>
    <w:rsid w:val="00A97EBA"/>
    <w:rPr>
      <w:color w:val="800080" w:themeColor="followedHyperlink"/>
      <w:u w:val="single"/>
    </w:rPr>
  </w:style>
  <w:style w:type="table" w:customStyle="1" w:styleId="Sombreadomedio1-nfasis11">
    <w:name w:val="Sombreado medio 1 - Énfasis 11"/>
    <w:basedOn w:val="TableNormal"/>
    <w:uiPriority w:val="63"/>
    <w:rsid w:val="00F77F0F"/>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0">
    <w:name w:val="a0"/>
    <w:basedOn w:val="DefaultParagraphFont"/>
    <w:rsid w:val="006518C2"/>
  </w:style>
  <w:style w:type="paragraph" w:styleId="HTMLPreformatted">
    <w:name w:val="HTML Preformatted"/>
    <w:basedOn w:val="Normal"/>
    <w:link w:val="HTMLPreformattedChar"/>
    <w:uiPriority w:val="99"/>
    <w:semiHidden/>
    <w:unhideWhenUsed/>
    <w:rsid w:val="003F5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3F5734"/>
    <w:rPr>
      <w:rFonts w:ascii="Courier New" w:eastAsia="Times New Roman" w:hAnsi="Courier New" w:cs="Courier New"/>
      <w:lang w:eastAsia="zh-CN"/>
    </w:rPr>
  </w:style>
  <w:style w:type="table" w:customStyle="1" w:styleId="GridTable4Accent5">
    <w:name w:val="Grid Table 4 Accent 5"/>
    <w:basedOn w:val="TableNormal"/>
    <w:uiPriority w:val="49"/>
    <w:rsid w:val="003F5734"/>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ghtList-Accent5">
    <w:name w:val="Light List Accent 5"/>
    <w:basedOn w:val="TableNormal"/>
    <w:uiPriority w:val="61"/>
    <w:semiHidden/>
    <w:unhideWhenUsed/>
    <w:rsid w:val="00F26FAF"/>
    <w:tblPr>
      <w:tblStyleRowBandSize w:val="1"/>
      <w:tblStyleColBandSize w:val="1"/>
      <w:tblInd w:w="0" w:type="nil"/>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1-Accent1">
    <w:name w:val="Medium Grid 1 Accent 1"/>
    <w:basedOn w:val="TableNormal"/>
    <w:uiPriority w:val="67"/>
    <w:rsid w:val="00F26FAF"/>
    <w:rPr>
      <w:rFonts w:ascii="Times New Roman" w:eastAsia="Times New Roman" w:hAnsi="Times New Roman"/>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UnresolvedMention">
    <w:name w:val="Unresolved Mention"/>
    <w:basedOn w:val="DefaultParagraphFont"/>
    <w:uiPriority w:val="99"/>
    <w:semiHidden/>
    <w:unhideWhenUsed/>
    <w:rsid w:val="00F26FA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8F5C18"/>
    <w:pPr>
      <w:keepNext/>
      <w:keepLines/>
      <w:numPr>
        <w:numId w:val="1"/>
      </w:numPr>
      <w:tabs>
        <w:tab w:val="left" w:pos="284"/>
      </w:tabs>
      <w:spacing w:before="240" w:after="0"/>
      <w:outlineLvl w:val="0"/>
    </w:pPr>
    <w:rPr>
      <w:rFonts w:ascii="Cambria" w:eastAsia="Times New Roman" w:hAnsi="Cambria"/>
      <w:b/>
      <w:color w:val="365F91"/>
      <w:sz w:val="32"/>
      <w:szCs w:val="32"/>
    </w:rPr>
  </w:style>
  <w:style w:type="paragraph" w:styleId="Heading2">
    <w:name w:val="heading 2"/>
    <w:basedOn w:val="Normal"/>
    <w:link w:val="Heading2Char"/>
    <w:uiPriority w:val="9"/>
    <w:qFormat/>
    <w:rsid w:val="000A77B0"/>
    <w:pPr>
      <w:spacing w:before="100" w:beforeAutospacing="1" w:after="100" w:afterAutospacing="1" w:line="240" w:lineRule="auto"/>
      <w:outlineLvl w:val="1"/>
    </w:pPr>
    <w:rPr>
      <w:rFonts w:ascii="Times New Roman" w:eastAsia="Times New Roman" w:hAnsi="Times New Roman"/>
      <w:b/>
      <w:bCs/>
      <w:sz w:val="36"/>
      <w:szCs w:val="36"/>
      <w:lang w:eastAsia="es-CO"/>
    </w:rPr>
  </w:style>
  <w:style w:type="paragraph" w:styleId="Heading3">
    <w:name w:val="heading 3"/>
    <w:basedOn w:val="Normal"/>
    <w:next w:val="Normal"/>
    <w:link w:val="Heading3Char"/>
    <w:uiPriority w:val="9"/>
    <w:unhideWhenUsed/>
    <w:qFormat/>
    <w:rsid w:val="00075D29"/>
    <w:pPr>
      <w:keepNext/>
      <w:keepLines/>
      <w:spacing w:before="40" w:after="0"/>
      <w:outlineLvl w:val="2"/>
    </w:pPr>
    <w:rPr>
      <w:rFonts w:ascii="Cambria" w:eastAsia="Times New Roman" w:hAnsi="Cambria"/>
      <w:color w:val="243F60"/>
      <w:sz w:val="24"/>
      <w:szCs w:val="24"/>
    </w:rPr>
  </w:style>
  <w:style w:type="paragraph" w:styleId="Heading9">
    <w:name w:val="heading 9"/>
    <w:basedOn w:val="Normal"/>
    <w:next w:val="Normal"/>
    <w:link w:val="Heading9Char"/>
    <w:qFormat/>
    <w:rsid w:val="00DA6997"/>
    <w:pPr>
      <w:keepNext/>
      <w:spacing w:after="0" w:line="240" w:lineRule="auto"/>
      <w:jc w:val="center"/>
      <w:outlineLvl w:val="8"/>
    </w:pPr>
    <w:rPr>
      <w:rFonts w:ascii="Arial" w:eastAsia="Times New Roman" w:hAnsi="Arial"/>
      <w:b/>
      <w:color w:val="000080"/>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Lista vistosa - Énfasis 11,HOJA,Bolita,Párrafo de lista4,BOLADEF,Párrafo de lista21,BOLA,Nivel 1 OS,Colorful List Accent 1,Colorful List - Accent 11,Dot pt,No Spacing1,List Paragraph Char Char Char,Indicator Text,List1"/>
    <w:basedOn w:val="Normal"/>
    <w:link w:val="ListParagraphChar"/>
    <w:uiPriority w:val="34"/>
    <w:qFormat/>
    <w:rsid w:val="009A1AB7"/>
    <w:pPr>
      <w:ind w:left="720"/>
      <w:contextualSpacing/>
    </w:pPr>
  </w:style>
  <w:style w:type="table" w:styleId="TableGrid">
    <w:name w:val="Table Grid"/>
    <w:basedOn w:val="TableNormal"/>
    <w:uiPriority w:val="59"/>
    <w:rsid w:val="00EF6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086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0866"/>
    <w:rPr>
      <w:rFonts w:ascii="Tahoma" w:hAnsi="Tahoma" w:cs="Tahoma"/>
      <w:sz w:val="16"/>
      <w:szCs w:val="16"/>
    </w:rPr>
  </w:style>
  <w:style w:type="paragraph" w:styleId="NormalWeb">
    <w:name w:val="Normal (Web)"/>
    <w:basedOn w:val="Normal"/>
    <w:uiPriority w:val="99"/>
    <w:unhideWhenUsed/>
    <w:rsid w:val="00100AE7"/>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Heading2Char">
    <w:name w:val="Heading 2 Char"/>
    <w:link w:val="Heading2"/>
    <w:uiPriority w:val="9"/>
    <w:rsid w:val="000A77B0"/>
    <w:rPr>
      <w:rFonts w:ascii="Times New Roman" w:eastAsia="Times New Roman" w:hAnsi="Times New Roman" w:cs="Times New Roman"/>
      <w:b/>
      <w:bCs/>
      <w:sz w:val="36"/>
      <w:szCs w:val="36"/>
      <w:lang w:eastAsia="es-CO"/>
    </w:rPr>
  </w:style>
  <w:style w:type="paragraph" w:styleId="FootnoteText">
    <w:name w:val="footnote text"/>
    <w:aliases w:val="fn, Car,Car Car,ft,Car,Style 50,FT,Footnote Text Char1 Char Char,Footnote Text Char Char1 Char Char,FT Char Char1 Char Char,fn Char Char Char Char,Footnote Text Char Char1,FT Char Char1,Footnote Text Char1,Footnote Text Char Char,1,Char"/>
    <w:basedOn w:val="Normal"/>
    <w:link w:val="FootnoteTextChar"/>
    <w:unhideWhenUsed/>
    <w:rsid w:val="00347967"/>
    <w:pPr>
      <w:spacing w:after="0" w:line="240" w:lineRule="auto"/>
    </w:pPr>
    <w:rPr>
      <w:sz w:val="20"/>
      <w:szCs w:val="20"/>
    </w:rPr>
  </w:style>
  <w:style w:type="character" w:customStyle="1" w:styleId="FootnoteTextChar">
    <w:name w:val="Footnote Text Char"/>
    <w:aliases w:val="fn Char, Car Char,Car Car Char,ft Char,Car Char,Style 50 Char,FT Char,Footnote Text Char1 Char Char Char,Footnote Text Char Char1 Char Char Char,FT Char Char1 Char Char Char,fn Char Char Char Char Char,Footnote Text Char Char1 Char"/>
    <w:link w:val="FootnoteText"/>
    <w:uiPriority w:val="99"/>
    <w:rsid w:val="00347967"/>
    <w:rPr>
      <w:sz w:val="20"/>
      <w:szCs w:val="20"/>
    </w:rPr>
  </w:style>
  <w:style w:type="character" w:styleId="FootnoteReference">
    <w:name w:val="footnote reference"/>
    <w:aliases w:val="fr,referencia nota al pie,Style 49,Footnote Reference new,Style 18,Footnote ReferenceW,Style 13,Ref,de nota al pie,Ref. de nota al pie.,Ref1,Footnote symbol,Footnote,FC,Texto de nota al pie,BVI fnr,Ref. de nota al pie2,Nota de pie"/>
    <w:unhideWhenUsed/>
    <w:rsid w:val="00347967"/>
    <w:rPr>
      <w:vertAlign w:val="superscript"/>
    </w:rPr>
  </w:style>
  <w:style w:type="character" w:customStyle="1" w:styleId="apple-converted-space">
    <w:name w:val="apple-converted-space"/>
    <w:basedOn w:val="DefaultParagraphFont"/>
    <w:rsid w:val="00412ED5"/>
  </w:style>
  <w:style w:type="paragraph" w:styleId="NoSpacing">
    <w:name w:val="No Spacing"/>
    <w:link w:val="NoSpacingChar"/>
    <w:uiPriority w:val="1"/>
    <w:qFormat/>
    <w:rsid w:val="00A521A5"/>
    <w:rPr>
      <w:sz w:val="22"/>
      <w:szCs w:val="22"/>
      <w:lang w:eastAsia="en-US"/>
    </w:rPr>
  </w:style>
  <w:style w:type="character" w:customStyle="1" w:styleId="Heading1Char">
    <w:name w:val="Heading 1 Char"/>
    <w:link w:val="Heading1"/>
    <w:uiPriority w:val="9"/>
    <w:rsid w:val="008F5C18"/>
    <w:rPr>
      <w:rFonts w:ascii="Cambria" w:eastAsia="Times New Roman" w:hAnsi="Cambria"/>
      <w:b/>
      <w:color w:val="365F91"/>
      <w:sz w:val="32"/>
      <w:szCs w:val="32"/>
      <w:lang w:eastAsia="en-US"/>
    </w:rPr>
  </w:style>
  <w:style w:type="character" w:customStyle="1" w:styleId="Heading3Char">
    <w:name w:val="Heading 3 Char"/>
    <w:link w:val="Heading3"/>
    <w:uiPriority w:val="9"/>
    <w:rsid w:val="00075D29"/>
    <w:rPr>
      <w:rFonts w:ascii="Cambria" w:eastAsia="Times New Roman" w:hAnsi="Cambria" w:cs="Times New Roman"/>
      <w:color w:val="243F60"/>
      <w:sz w:val="24"/>
      <w:szCs w:val="24"/>
    </w:rPr>
  </w:style>
  <w:style w:type="table" w:customStyle="1" w:styleId="Sombreadoclaro-nfasis11">
    <w:name w:val="Sombreado claro - Énfasis 11"/>
    <w:basedOn w:val="TableNormal"/>
    <w:uiPriority w:val="60"/>
    <w:rsid w:val="00BE3A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BE3A6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Heading9Char">
    <w:name w:val="Heading 9 Char"/>
    <w:link w:val="Heading9"/>
    <w:rsid w:val="00DA6997"/>
    <w:rPr>
      <w:rFonts w:ascii="Arial" w:eastAsia="Times New Roman" w:hAnsi="Arial" w:cs="Times New Roman"/>
      <w:b/>
      <w:color w:val="000080"/>
      <w:sz w:val="28"/>
      <w:szCs w:val="20"/>
      <w:lang w:val="es-ES" w:eastAsia="es-ES"/>
    </w:rPr>
  </w:style>
  <w:style w:type="character" w:customStyle="1" w:styleId="ListParagraphChar">
    <w:name w:val="List Paragraph Char"/>
    <w:aliases w:val="titulo 3 Char,Bullet Char,Lista vistosa - Énfasis 11 Char,HOJA Char,Bolita Char,Párrafo de lista4 Char,BOLADEF Char,Párrafo de lista21 Char,BOLA Char,Nivel 1 OS Char,Colorful List Accent 1 Char,Colorful List - Accent 11 Char"/>
    <w:link w:val="ListParagraph"/>
    <w:uiPriority w:val="34"/>
    <w:locked/>
    <w:rsid w:val="00DA6997"/>
  </w:style>
  <w:style w:type="paragraph" w:styleId="Header">
    <w:name w:val="header"/>
    <w:basedOn w:val="Normal"/>
    <w:link w:val="HeaderChar"/>
    <w:uiPriority w:val="99"/>
    <w:unhideWhenUsed/>
    <w:rsid w:val="00BF67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BF670F"/>
  </w:style>
  <w:style w:type="paragraph" w:styleId="Footer">
    <w:name w:val="footer"/>
    <w:basedOn w:val="Normal"/>
    <w:link w:val="FooterChar"/>
    <w:uiPriority w:val="99"/>
    <w:unhideWhenUsed/>
    <w:rsid w:val="00BF67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BF670F"/>
  </w:style>
  <w:style w:type="table" w:customStyle="1" w:styleId="Tabladecuadrcula7concolores-nfasis11">
    <w:name w:val="Tabla de cuadrícula 7 con colores - Énfasis 11"/>
    <w:basedOn w:val="TableNormal"/>
    <w:uiPriority w:val="52"/>
    <w:rsid w:val="00D9522C"/>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paragraph" w:styleId="PlainText">
    <w:name w:val="Plain Text"/>
    <w:basedOn w:val="Normal"/>
    <w:link w:val="PlainTextChar"/>
    <w:uiPriority w:val="99"/>
    <w:semiHidden/>
    <w:unhideWhenUsed/>
    <w:rsid w:val="00454B7E"/>
    <w:pPr>
      <w:spacing w:after="0" w:line="240" w:lineRule="auto"/>
    </w:pPr>
    <w:rPr>
      <w:szCs w:val="21"/>
    </w:rPr>
  </w:style>
  <w:style w:type="character" w:customStyle="1" w:styleId="PlainTextChar">
    <w:name w:val="Plain Text Char"/>
    <w:link w:val="PlainText"/>
    <w:uiPriority w:val="99"/>
    <w:semiHidden/>
    <w:rsid w:val="00454B7E"/>
    <w:rPr>
      <w:rFonts w:ascii="Calibri" w:hAnsi="Calibri"/>
      <w:szCs w:val="21"/>
    </w:rPr>
  </w:style>
  <w:style w:type="paragraph" w:customStyle="1" w:styleId="default">
    <w:name w:val="default"/>
    <w:basedOn w:val="Normal"/>
    <w:rsid w:val="00D07EF6"/>
    <w:pPr>
      <w:spacing w:before="100" w:beforeAutospacing="1" w:after="100" w:afterAutospacing="1" w:line="240" w:lineRule="auto"/>
    </w:pPr>
    <w:rPr>
      <w:rFonts w:ascii="Times New Roman" w:eastAsia="Times New Roman" w:hAnsi="Times New Roman"/>
      <w:sz w:val="24"/>
      <w:szCs w:val="24"/>
      <w:lang w:eastAsia="es-CO"/>
    </w:rPr>
  </w:style>
  <w:style w:type="paragraph" w:styleId="TOCHeading">
    <w:name w:val="TOC Heading"/>
    <w:basedOn w:val="Heading1"/>
    <w:next w:val="Normal"/>
    <w:uiPriority w:val="39"/>
    <w:unhideWhenUsed/>
    <w:qFormat/>
    <w:rsid w:val="008F5C18"/>
    <w:pPr>
      <w:numPr>
        <w:numId w:val="0"/>
      </w:numPr>
      <w:tabs>
        <w:tab w:val="clear" w:pos="284"/>
      </w:tabs>
      <w:spacing w:before="480"/>
      <w:outlineLvl w:val="9"/>
    </w:pPr>
    <w:rPr>
      <w:bCs/>
      <w:sz w:val="28"/>
      <w:szCs w:val="28"/>
      <w:lang w:eastAsia="es-CO"/>
    </w:rPr>
  </w:style>
  <w:style w:type="paragraph" w:styleId="TOC2">
    <w:name w:val="toc 2"/>
    <w:basedOn w:val="Normal"/>
    <w:next w:val="Normal"/>
    <w:autoRedefine/>
    <w:uiPriority w:val="39"/>
    <w:unhideWhenUsed/>
    <w:rsid w:val="008F5C18"/>
    <w:pPr>
      <w:spacing w:after="100"/>
      <w:ind w:left="220"/>
    </w:pPr>
  </w:style>
  <w:style w:type="paragraph" w:styleId="TOC1">
    <w:name w:val="toc 1"/>
    <w:basedOn w:val="Normal"/>
    <w:next w:val="Normal"/>
    <w:autoRedefine/>
    <w:uiPriority w:val="39"/>
    <w:unhideWhenUsed/>
    <w:rsid w:val="008F5C18"/>
    <w:pPr>
      <w:spacing w:after="100"/>
    </w:pPr>
  </w:style>
  <w:style w:type="paragraph" w:styleId="TOC3">
    <w:name w:val="toc 3"/>
    <w:basedOn w:val="Normal"/>
    <w:next w:val="Normal"/>
    <w:autoRedefine/>
    <w:uiPriority w:val="39"/>
    <w:unhideWhenUsed/>
    <w:rsid w:val="008F5C18"/>
    <w:pPr>
      <w:spacing w:after="100"/>
      <w:ind w:left="440"/>
    </w:pPr>
  </w:style>
  <w:style w:type="character" w:styleId="Hyperlink">
    <w:name w:val="Hyperlink"/>
    <w:uiPriority w:val="99"/>
    <w:unhideWhenUsed/>
    <w:rsid w:val="008F5C18"/>
    <w:rPr>
      <w:color w:val="0000FF"/>
      <w:u w:val="single"/>
    </w:rPr>
  </w:style>
  <w:style w:type="character" w:styleId="Strong">
    <w:name w:val="Strong"/>
    <w:uiPriority w:val="22"/>
    <w:qFormat/>
    <w:rsid w:val="008D62DF"/>
    <w:rPr>
      <w:b/>
      <w:bCs/>
    </w:rPr>
  </w:style>
  <w:style w:type="character" w:styleId="Emphasis">
    <w:name w:val="Emphasis"/>
    <w:uiPriority w:val="20"/>
    <w:qFormat/>
    <w:rsid w:val="008D62DF"/>
    <w:rPr>
      <w:i/>
      <w:iCs/>
    </w:rPr>
  </w:style>
  <w:style w:type="table" w:customStyle="1" w:styleId="Listamedia1-nfasis11">
    <w:name w:val="Lista media 1 - Énfasis 11"/>
    <w:basedOn w:val="TableNormal"/>
    <w:uiPriority w:val="65"/>
    <w:rsid w:val="003B73FD"/>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Title">
    <w:name w:val="Title"/>
    <w:basedOn w:val="Normal"/>
    <w:next w:val="Normal"/>
    <w:link w:val="TitleChar"/>
    <w:uiPriority w:val="10"/>
    <w:qFormat/>
    <w:rsid w:val="00CD2D27"/>
    <w:pPr>
      <w:pBdr>
        <w:bottom w:val="single" w:sz="8" w:space="4" w:color="4F81BD" w:themeColor="accent1"/>
      </w:pBdr>
      <w:spacing w:after="300" w:line="240" w:lineRule="auto"/>
      <w:contextualSpacing/>
    </w:pPr>
    <w:rPr>
      <w:rFonts w:ascii="Helvetica" w:eastAsiaTheme="majorEastAsia" w:hAnsi="Helvetic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CD2D27"/>
    <w:rPr>
      <w:rFonts w:ascii="Helvetica" w:eastAsiaTheme="majorEastAsia" w:hAnsi="Helvetica" w:cstheme="majorBidi"/>
      <w:b/>
      <w:color w:val="17365D" w:themeColor="text2" w:themeShade="BF"/>
      <w:spacing w:val="5"/>
      <w:kern w:val="28"/>
      <w:sz w:val="52"/>
      <w:szCs w:val="52"/>
      <w:lang w:eastAsia="en-US"/>
    </w:rPr>
  </w:style>
  <w:style w:type="character" w:customStyle="1" w:styleId="NoSpacingChar">
    <w:name w:val="No Spacing Char"/>
    <w:basedOn w:val="DefaultParagraphFont"/>
    <w:link w:val="NoSpacing"/>
    <w:uiPriority w:val="1"/>
    <w:rsid w:val="00B14DB3"/>
    <w:rPr>
      <w:sz w:val="22"/>
      <w:szCs w:val="22"/>
      <w:lang w:eastAsia="en-US"/>
    </w:rPr>
  </w:style>
  <w:style w:type="character" w:styleId="FollowedHyperlink">
    <w:name w:val="FollowedHyperlink"/>
    <w:basedOn w:val="DefaultParagraphFont"/>
    <w:uiPriority w:val="99"/>
    <w:semiHidden/>
    <w:unhideWhenUsed/>
    <w:rsid w:val="00A97EBA"/>
    <w:rPr>
      <w:color w:val="800080" w:themeColor="followedHyperlink"/>
      <w:u w:val="single"/>
    </w:rPr>
  </w:style>
  <w:style w:type="table" w:customStyle="1" w:styleId="Sombreadomedio1-nfasis11">
    <w:name w:val="Sombreado medio 1 - Énfasis 11"/>
    <w:basedOn w:val="TableNormal"/>
    <w:uiPriority w:val="63"/>
    <w:rsid w:val="00F77F0F"/>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0">
    <w:name w:val="a0"/>
    <w:basedOn w:val="DefaultParagraphFont"/>
    <w:rsid w:val="006518C2"/>
  </w:style>
  <w:style w:type="paragraph" w:styleId="HTMLPreformatted">
    <w:name w:val="HTML Preformatted"/>
    <w:basedOn w:val="Normal"/>
    <w:link w:val="HTMLPreformattedChar"/>
    <w:uiPriority w:val="99"/>
    <w:semiHidden/>
    <w:unhideWhenUsed/>
    <w:rsid w:val="003F5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3F5734"/>
    <w:rPr>
      <w:rFonts w:ascii="Courier New" w:eastAsia="Times New Roman" w:hAnsi="Courier New" w:cs="Courier New"/>
      <w:lang w:eastAsia="zh-CN"/>
    </w:rPr>
  </w:style>
  <w:style w:type="table" w:customStyle="1" w:styleId="GridTable4Accent5">
    <w:name w:val="Grid Table 4 Accent 5"/>
    <w:basedOn w:val="TableNormal"/>
    <w:uiPriority w:val="49"/>
    <w:rsid w:val="003F5734"/>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ghtList-Accent5">
    <w:name w:val="Light List Accent 5"/>
    <w:basedOn w:val="TableNormal"/>
    <w:uiPriority w:val="61"/>
    <w:semiHidden/>
    <w:unhideWhenUsed/>
    <w:rsid w:val="00F26FAF"/>
    <w:tblPr>
      <w:tblStyleRowBandSize w:val="1"/>
      <w:tblStyleColBandSize w:val="1"/>
      <w:tblInd w:w="0" w:type="nil"/>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1-Accent1">
    <w:name w:val="Medium Grid 1 Accent 1"/>
    <w:basedOn w:val="TableNormal"/>
    <w:uiPriority w:val="67"/>
    <w:rsid w:val="00F26FAF"/>
    <w:rPr>
      <w:rFonts w:ascii="Times New Roman" w:eastAsia="Times New Roman" w:hAnsi="Times New Roman"/>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UnresolvedMention">
    <w:name w:val="Unresolved Mention"/>
    <w:basedOn w:val="DefaultParagraphFont"/>
    <w:uiPriority w:val="99"/>
    <w:semiHidden/>
    <w:unhideWhenUsed/>
    <w:rsid w:val="00F26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7136">
      <w:bodyDiv w:val="1"/>
      <w:marLeft w:val="0"/>
      <w:marRight w:val="0"/>
      <w:marTop w:val="0"/>
      <w:marBottom w:val="0"/>
      <w:divBdr>
        <w:top w:val="none" w:sz="0" w:space="0" w:color="auto"/>
        <w:left w:val="none" w:sz="0" w:space="0" w:color="auto"/>
        <w:bottom w:val="none" w:sz="0" w:space="0" w:color="auto"/>
        <w:right w:val="none" w:sz="0" w:space="0" w:color="auto"/>
      </w:divBdr>
    </w:div>
    <w:div w:id="160047407">
      <w:bodyDiv w:val="1"/>
      <w:marLeft w:val="0"/>
      <w:marRight w:val="0"/>
      <w:marTop w:val="0"/>
      <w:marBottom w:val="0"/>
      <w:divBdr>
        <w:top w:val="none" w:sz="0" w:space="0" w:color="auto"/>
        <w:left w:val="none" w:sz="0" w:space="0" w:color="auto"/>
        <w:bottom w:val="none" w:sz="0" w:space="0" w:color="auto"/>
        <w:right w:val="none" w:sz="0" w:space="0" w:color="auto"/>
      </w:divBdr>
    </w:div>
    <w:div w:id="174685807">
      <w:bodyDiv w:val="1"/>
      <w:marLeft w:val="0"/>
      <w:marRight w:val="0"/>
      <w:marTop w:val="0"/>
      <w:marBottom w:val="0"/>
      <w:divBdr>
        <w:top w:val="none" w:sz="0" w:space="0" w:color="auto"/>
        <w:left w:val="none" w:sz="0" w:space="0" w:color="auto"/>
        <w:bottom w:val="none" w:sz="0" w:space="0" w:color="auto"/>
        <w:right w:val="none" w:sz="0" w:space="0" w:color="auto"/>
      </w:divBdr>
    </w:div>
    <w:div w:id="230046288">
      <w:bodyDiv w:val="1"/>
      <w:marLeft w:val="0"/>
      <w:marRight w:val="0"/>
      <w:marTop w:val="0"/>
      <w:marBottom w:val="0"/>
      <w:divBdr>
        <w:top w:val="none" w:sz="0" w:space="0" w:color="auto"/>
        <w:left w:val="none" w:sz="0" w:space="0" w:color="auto"/>
        <w:bottom w:val="none" w:sz="0" w:space="0" w:color="auto"/>
        <w:right w:val="none" w:sz="0" w:space="0" w:color="auto"/>
      </w:divBdr>
    </w:div>
    <w:div w:id="230894839">
      <w:bodyDiv w:val="1"/>
      <w:marLeft w:val="0"/>
      <w:marRight w:val="0"/>
      <w:marTop w:val="0"/>
      <w:marBottom w:val="0"/>
      <w:divBdr>
        <w:top w:val="none" w:sz="0" w:space="0" w:color="auto"/>
        <w:left w:val="none" w:sz="0" w:space="0" w:color="auto"/>
        <w:bottom w:val="none" w:sz="0" w:space="0" w:color="auto"/>
        <w:right w:val="none" w:sz="0" w:space="0" w:color="auto"/>
      </w:divBdr>
    </w:div>
    <w:div w:id="246043991">
      <w:bodyDiv w:val="1"/>
      <w:marLeft w:val="0"/>
      <w:marRight w:val="0"/>
      <w:marTop w:val="0"/>
      <w:marBottom w:val="0"/>
      <w:divBdr>
        <w:top w:val="none" w:sz="0" w:space="0" w:color="auto"/>
        <w:left w:val="none" w:sz="0" w:space="0" w:color="auto"/>
        <w:bottom w:val="none" w:sz="0" w:space="0" w:color="auto"/>
        <w:right w:val="none" w:sz="0" w:space="0" w:color="auto"/>
      </w:divBdr>
    </w:div>
    <w:div w:id="255098518">
      <w:bodyDiv w:val="1"/>
      <w:marLeft w:val="0"/>
      <w:marRight w:val="0"/>
      <w:marTop w:val="0"/>
      <w:marBottom w:val="0"/>
      <w:divBdr>
        <w:top w:val="none" w:sz="0" w:space="0" w:color="auto"/>
        <w:left w:val="none" w:sz="0" w:space="0" w:color="auto"/>
        <w:bottom w:val="none" w:sz="0" w:space="0" w:color="auto"/>
        <w:right w:val="none" w:sz="0" w:space="0" w:color="auto"/>
      </w:divBdr>
    </w:div>
    <w:div w:id="352076673">
      <w:bodyDiv w:val="1"/>
      <w:marLeft w:val="0"/>
      <w:marRight w:val="0"/>
      <w:marTop w:val="0"/>
      <w:marBottom w:val="0"/>
      <w:divBdr>
        <w:top w:val="none" w:sz="0" w:space="0" w:color="auto"/>
        <w:left w:val="none" w:sz="0" w:space="0" w:color="auto"/>
        <w:bottom w:val="none" w:sz="0" w:space="0" w:color="auto"/>
        <w:right w:val="none" w:sz="0" w:space="0" w:color="auto"/>
      </w:divBdr>
    </w:div>
    <w:div w:id="364454433">
      <w:bodyDiv w:val="1"/>
      <w:marLeft w:val="0"/>
      <w:marRight w:val="0"/>
      <w:marTop w:val="0"/>
      <w:marBottom w:val="0"/>
      <w:divBdr>
        <w:top w:val="none" w:sz="0" w:space="0" w:color="auto"/>
        <w:left w:val="none" w:sz="0" w:space="0" w:color="auto"/>
        <w:bottom w:val="none" w:sz="0" w:space="0" w:color="auto"/>
        <w:right w:val="none" w:sz="0" w:space="0" w:color="auto"/>
      </w:divBdr>
    </w:div>
    <w:div w:id="367292177">
      <w:bodyDiv w:val="1"/>
      <w:marLeft w:val="0"/>
      <w:marRight w:val="0"/>
      <w:marTop w:val="0"/>
      <w:marBottom w:val="0"/>
      <w:divBdr>
        <w:top w:val="none" w:sz="0" w:space="0" w:color="auto"/>
        <w:left w:val="none" w:sz="0" w:space="0" w:color="auto"/>
        <w:bottom w:val="none" w:sz="0" w:space="0" w:color="auto"/>
        <w:right w:val="none" w:sz="0" w:space="0" w:color="auto"/>
      </w:divBdr>
    </w:div>
    <w:div w:id="400636069">
      <w:bodyDiv w:val="1"/>
      <w:marLeft w:val="0"/>
      <w:marRight w:val="0"/>
      <w:marTop w:val="0"/>
      <w:marBottom w:val="0"/>
      <w:divBdr>
        <w:top w:val="none" w:sz="0" w:space="0" w:color="auto"/>
        <w:left w:val="none" w:sz="0" w:space="0" w:color="auto"/>
        <w:bottom w:val="none" w:sz="0" w:space="0" w:color="auto"/>
        <w:right w:val="none" w:sz="0" w:space="0" w:color="auto"/>
      </w:divBdr>
    </w:div>
    <w:div w:id="463624176">
      <w:bodyDiv w:val="1"/>
      <w:marLeft w:val="0"/>
      <w:marRight w:val="0"/>
      <w:marTop w:val="0"/>
      <w:marBottom w:val="0"/>
      <w:divBdr>
        <w:top w:val="none" w:sz="0" w:space="0" w:color="auto"/>
        <w:left w:val="none" w:sz="0" w:space="0" w:color="auto"/>
        <w:bottom w:val="none" w:sz="0" w:space="0" w:color="auto"/>
        <w:right w:val="none" w:sz="0" w:space="0" w:color="auto"/>
      </w:divBdr>
    </w:div>
    <w:div w:id="472218611">
      <w:bodyDiv w:val="1"/>
      <w:marLeft w:val="0"/>
      <w:marRight w:val="0"/>
      <w:marTop w:val="0"/>
      <w:marBottom w:val="0"/>
      <w:divBdr>
        <w:top w:val="none" w:sz="0" w:space="0" w:color="auto"/>
        <w:left w:val="none" w:sz="0" w:space="0" w:color="auto"/>
        <w:bottom w:val="none" w:sz="0" w:space="0" w:color="auto"/>
        <w:right w:val="none" w:sz="0" w:space="0" w:color="auto"/>
      </w:divBdr>
    </w:div>
    <w:div w:id="498080697">
      <w:bodyDiv w:val="1"/>
      <w:marLeft w:val="0"/>
      <w:marRight w:val="0"/>
      <w:marTop w:val="0"/>
      <w:marBottom w:val="0"/>
      <w:divBdr>
        <w:top w:val="none" w:sz="0" w:space="0" w:color="auto"/>
        <w:left w:val="none" w:sz="0" w:space="0" w:color="auto"/>
        <w:bottom w:val="none" w:sz="0" w:space="0" w:color="auto"/>
        <w:right w:val="none" w:sz="0" w:space="0" w:color="auto"/>
      </w:divBdr>
    </w:div>
    <w:div w:id="519004071">
      <w:bodyDiv w:val="1"/>
      <w:marLeft w:val="0"/>
      <w:marRight w:val="0"/>
      <w:marTop w:val="0"/>
      <w:marBottom w:val="0"/>
      <w:divBdr>
        <w:top w:val="none" w:sz="0" w:space="0" w:color="auto"/>
        <w:left w:val="none" w:sz="0" w:space="0" w:color="auto"/>
        <w:bottom w:val="none" w:sz="0" w:space="0" w:color="auto"/>
        <w:right w:val="none" w:sz="0" w:space="0" w:color="auto"/>
      </w:divBdr>
    </w:div>
    <w:div w:id="622270798">
      <w:bodyDiv w:val="1"/>
      <w:marLeft w:val="0"/>
      <w:marRight w:val="0"/>
      <w:marTop w:val="0"/>
      <w:marBottom w:val="0"/>
      <w:divBdr>
        <w:top w:val="none" w:sz="0" w:space="0" w:color="auto"/>
        <w:left w:val="none" w:sz="0" w:space="0" w:color="auto"/>
        <w:bottom w:val="none" w:sz="0" w:space="0" w:color="auto"/>
        <w:right w:val="none" w:sz="0" w:space="0" w:color="auto"/>
      </w:divBdr>
    </w:div>
    <w:div w:id="721445655">
      <w:bodyDiv w:val="1"/>
      <w:marLeft w:val="0"/>
      <w:marRight w:val="0"/>
      <w:marTop w:val="0"/>
      <w:marBottom w:val="0"/>
      <w:divBdr>
        <w:top w:val="none" w:sz="0" w:space="0" w:color="auto"/>
        <w:left w:val="none" w:sz="0" w:space="0" w:color="auto"/>
        <w:bottom w:val="none" w:sz="0" w:space="0" w:color="auto"/>
        <w:right w:val="none" w:sz="0" w:space="0" w:color="auto"/>
      </w:divBdr>
    </w:div>
    <w:div w:id="747769824">
      <w:bodyDiv w:val="1"/>
      <w:marLeft w:val="0"/>
      <w:marRight w:val="0"/>
      <w:marTop w:val="0"/>
      <w:marBottom w:val="0"/>
      <w:divBdr>
        <w:top w:val="none" w:sz="0" w:space="0" w:color="auto"/>
        <w:left w:val="none" w:sz="0" w:space="0" w:color="auto"/>
        <w:bottom w:val="none" w:sz="0" w:space="0" w:color="auto"/>
        <w:right w:val="none" w:sz="0" w:space="0" w:color="auto"/>
      </w:divBdr>
    </w:div>
    <w:div w:id="749083757">
      <w:bodyDiv w:val="1"/>
      <w:marLeft w:val="0"/>
      <w:marRight w:val="0"/>
      <w:marTop w:val="0"/>
      <w:marBottom w:val="0"/>
      <w:divBdr>
        <w:top w:val="none" w:sz="0" w:space="0" w:color="auto"/>
        <w:left w:val="none" w:sz="0" w:space="0" w:color="auto"/>
        <w:bottom w:val="none" w:sz="0" w:space="0" w:color="auto"/>
        <w:right w:val="none" w:sz="0" w:space="0" w:color="auto"/>
      </w:divBdr>
    </w:div>
    <w:div w:id="753938201">
      <w:bodyDiv w:val="1"/>
      <w:marLeft w:val="0"/>
      <w:marRight w:val="0"/>
      <w:marTop w:val="0"/>
      <w:marBottom w:val="0"/>
      <w:divBdr>
        <w:top w:val="none" w:sz="0" w:space="0" w:color="auto"/>
        <w:left w:val="none" w:sz="0" w:space="0" w:color="auto"/>
        <w:bottom w:val="none" w:sz="0" w:space="0" w:color="auto"/>
        <w:right w:val="none" w:sz="0" w:space="0" w:color="auto"/>
      </w:divBdr>
    </w:div>
    <w:div w:id="778915229">
      <w:bodyDiv w:val="1"/>
      <w:marLeft w:val="0"/>
      <w:marRight w:val="0"/>
      <w:marTop w:val="0"/>
      <w:marBottom w:val="0"/>
      <w:divBdr>
        <w:top w:val="none" w:sz="0" w:space="0" w:color="auto"/>
        <w:left w:val="none" w:sz="0" w:space="0" w:color="auto"/>
        <w:bottom w:val="none" w:sz="0" w:space="0" w:color="auto"/>
        <w:right w:val="none" w:sz="0" w:space="0" w:color="auto"/>
      </w:divBdr>
    </w:div>
    <w:div w:id="824859251">
      <w:bodyDiv w:val="1"/>
      <w:marLeft w:val="0"/>
      <w:marRight w:val="0"/>
      <w:marTop w:val="0"/>
      <w:marBottom w:val="0"/>
      <w:divBdr>
        <w:top w:val="none" w:sz="0" w:space="0" w:color="auto"/>
        <w:left w:val="none" w:sz="0" w:space="0" w:color="auto"/>
        <w:bottom w:val="none" w:sz="0" w:space="0" w:color="auto"/>
        <w:right w:val="none" w:sz="0" w:space="0" w:color="auto"/>
      </w:divBdr>
    </w:div>
    <w:div w:id="943994312">
      <w:bodyDiv w:val="1"/>
      <w:marLeft w:val="0"/>
      <w:marRight w:val="0"/>
      <w:marTop w:val="0"/>
      <w:marBottom w:val="0"/>
      <w:divBdr>
        <w:top w:val="none" w:sz="0" w:space="0" w:color="auto"/>
        <w:left w:val="none" w:sz="0" w:space="0" w:color="auto"/>
        <w:bottom w:val="none" w:sz="0" w:space="0" w:color="auto"/>
        <w:right w:val="none" w:sz="0" w:space="0" w:color="auto"/>
      </w:divBdr>
      <w:divsChild>
        <w:div w:id="1314020383">
          <w:marLeft w:val="547"/>
          <w:marRight w:val="0"/>
          <w:marTop w:val="0"/>
          <w:marBottom w:val="0"/>
          <w:divBdr>
            <w:top w:val="none" w:sz="0" w:space="0" w:color="auto"/>
            <w:left w:val="none" w:sz="0" w:space="0" w:color="auto"/>
            <w:bottom w:val="none" w:sz="0" w:space="0" w:color="auto"/>
            <w:right w:val="none" w:sz="0" w:space="0" w:color="auto"/>
          </w:divBdr>
        </w:div>
      </w:divsChild>
    </w:div>
    <w:div w:id="949822742">
      <w:bodyDiv w:val="1"/>
      <w:marLeft w:val="0"/>
      <w:marRight w:val="0"/>
      <w:marTop w:val="0"/>
      <w:marBottom w:val="0"/>
      <w:divBdr>
        <w:top w:val="none" w:sz="0" w:space="0" w:color="auto"/>
        <w:left w:val="none" w:sz="0" w:space="0" w:color="auto"/>
        <w:bottom w:val="none" w:sz="0" w:space="0" w:color="auto"/>
        <w:right w:val="none" w:sz="0" w:space="0" w:color="auto"/>
      </w:divBdr>
    </w:div>
    <w:div w:id="1011495225">
      <w:bodyDiv w:val="1"/>
      <w:marLeft w:val="0"/>
      <w:marRight w:val="0"/>
      <w:marTop w:val="0"/>
      <w:marBottom w:val="0"/>
      <w:divBdr>
        <w:top w:val="none" w:sz="0" w:space="0" w:color="auto"/>
        <w:left w:val="none" w:sz="0" w:space="0" w:color="auto"/>
        <w:bottom w:val="none" w:sz="0" w:space="0" w:color="auto"/>
        <w:right w:val="none" w:sz="0" w:space="0" w:color="auto"/>
      </w:divBdr>
    </w:div>
    <w:div w:id="1054043884">
      <w:bodyDiv w:val="1"/>
      <w:marLeft w:val="0"/>
      <w:marRight w:val="0"/>
      <w:marTop w:val="0"/>
      <w:marBottom w:val="0"/>
      <w:divBdr>
        <w:top w:val="none" w:sz="0" w:space="0" w:color="auto"/>
        <w:left w:val="none" w:sz="0" w:space="0" w:color="auto"/>
        <w:bottom w:val="none" w:sz="0" w:space="0" w:color="auto"/>
        <w:right w:val="none" w:sz="0" w:space="0" w:color="auto"/>
      </w:divBdr>
    </w:div>
    <w:div w:id="1086807747">
      <w:bodyDiv w:val="1"/>
      <w:marLeft w:val="0"/>
      <w:marRight w:val="0"/>
      <w:marTop w:val="0"/>
      <w:marBottom w:val="0"/>
      <w:divBdr>
        <w:top w:val="none" w:sz="0" w:space="0" w:color="auto"/>
        <w:left w:val="none" w:sz="0" w:space="0" w:color="auto"/>
        <w:bottom w:val="none" w:sz="0" w:space="0" w:color="auto"/>
        <w:right w:val="none" w:sz="0" w:space="0" w:color="auto"/>
      </w:divBdr>
    </w:div>
    <w:div w:id="1091657899">
      <w:bodyDiv w:val="1"/>
      <w:marLeft w:val="0"/>
      <w:marRight w:val="0"/>
      <w:marTop w:val="0"/>
      <w:marBottom w:val="0"/>
      <w:divBdr>
        <w:top w:val="none" w:sz="0" w:space="0" w:color="auto"/>
        <w:left w:val="none" w:sz="0" w:space="0" w:color="auto"/>
        <w:bottom w:val="none" w:sz="0" w:space="0" w:color="auto"/>
        <w:right w:val="none" w:sz="0" w:space="0" w:color="auto"/>
      </w:divBdr>
    </w:div>
    <w:div w:id="1094286136">
      <w:bodyDiv w:val="1"/>
      <w:marLeft w:val="0"/>
      <w:marRight w:val="0"/>
      <w:marTop w:val="0"/>
      <w:marBottom w:val="0"/>
      <w:divBdr>
        <w:top w:val="none" w:sz="0" w:space="0" w:color="auto"/>
        <w:left w:val="none" w:sz="0" w:space="0" w:color="auto"/>
        <w:bottom w:val="none" w:sz="0" w:space="0" w:color="auto"/>
        <w:right w:val="none" w:sz="0" w:space="0" w:color="auto"/>
      </w:divBdr>
    </w:div>
    <w:div w:id="1156729242">
      <w:bodyDiv w:val="1"/>
      <w:marLeft w:val="0"/>
      <w:marRight w:val="0"/>
      <w:marTop w:val="0"/>
      <w:marBottom w:val="0"/>
      <w:divBdr>
        <w:top w:val="none" w:sz="0" w:space="0" w:color="auto"/>
        <w:left w:val="none" w:sz="0" w:space="0" w:color="auto"/>
        <w:bottom w:val="none" w:sz="0" w:space="0" w:color="auto"/>
        <w:right w:val="none" w:sz="0" w:space="0" w:color="auto"/>
      </w:divBdr>
    </w:div>
    <w:div w:id="1157258272">
      <w:bodyDiv w:val="1"/>
      <w:marLeft w:val="0"/>
      <w:marRight w:val="0"/>
      <w:marTop w:val="0"/>
      <w:marBottom w:val="0"/>
      <w:divBdr>
        <w:top w:val="none" w:sz="0" w:space="0" w:color="auto"/>
        <w:left w:val="none" w:sz="0" w:space="0" w:color="auto"/>
        <w:bottom w:val="none" w:sz="0" w:space="0" w:color="auto"/>
        <w:right w:val="none" w:sz="0" w:space="0" w:color="auto"/>
      </w:divBdr>
    </w:div>
    <w:div w:id="1257523194">
      <w:bodyDiv w:val="1"/>
      <w:marLeft w:val="0"/>
      <w:marRight w:val="0"/>
      <w:marTop w:val="0"/>
      <w:marBottom w:val="0"/>
      <w:divBdr>
        <w:top w:val="none" w:sz="0" w:space="0" w:color="auto"/>
        <w:left w:val="none" w:sz="0" w:space="0" w:color="auto"/>
        <w:bottom w:val="none" w:sz="0" w:space="0" w:color="auto"/>
        <w:right w:val="none" w:sz="0" w:space="0" w:color="auto"/>
      </w:divBdr>
    </w:div>
    <w:div w:id="1302881353">
      <w:bodyDiv w:val="1"/>
      <w:marLeft w:val="0"/>
      <w:marRight w:val="0"/>
      <w:marTop w:val="0"/>
      <w:marBottom w:val="0"/>
      <w:divBdr>
        <w:top w:val="none" w:sz="0" w:space="0" w:color="auto"/>
        <w:left w:val="none" w:sz="0" w:space="0" w:color="auto"/>
        <w:bottom w:val="none" w:sz="0" w:space="0" w:color="auto"/>
        <w:right w:val="none" w:sz="0" w:space="0" w:color="auto"/>
      </w:divBdr>
    </w:div>
    <w:div w:id="1308585744">
      <w:bodyDiv w:val="1"/>
      <w:marLeft w:val="0"/>
      <w:marRight w:val="0"/>
      <w:marTop w:val="0"/>
      <w:marBottom w:val="0"/>
      <w:divBdr>
        <w:top w:val="none" w:sz="0" w:space="0" w:color="auto"/>
        <w:left w:val="none" w:sz="0" w:space="0" w:color="auto"/>
        <w:bottom w:val="none" w:sz="0" w:space="0" w:color="auto"/>
        <w:right w:val="none" w:sz="0" w:space="0" w:color="auto"/>
      </w:divBdr>
    </w:div>
    <w:div w:id="1425417739">
      <w:bodyDiv w:val="1"/>
      <w:marLeft w:val="0"/>
      <w:marRight w:val="0"/>
      <w:marTop w:val="0"/>
      <w:marBottom w:val="0"/>
      <w:divBdr>
        <w:top w:val="none" w:sz="0" w:space="0" w:color="auto"/>
        <w:left w:val="none" w:sz="0" w:space="0" w:color="auto"/>
        <w:bottom w:val="none" w:sz="0" w:space="0" w:color="auto"/>
        <w:right w:val="none" w:sz="0" w:space="0" w:color="auto"/>
      </w:divBdr>
    </w:div>
    <w:div w:id="1440100596">
      <w:bodyDiv w:val="1"/>
      <w:marLeft w:val="0"/>
      <w:marRight w:val="0"/>
      <w:marTop w:val="0"/>
      <w:marBottom w:val="0"/>
      <w:divBdr>
        <w:top w:val="none" w:sz="0" w:space="0" w:color="auto"/>
        <w:left w:val="none" w:sz="0" w:space="0" w:color="auto"/>
        <w:bottom w:val="none" w:sz="0" w:space="0" w:color="auto"/>
        <w:right w:val="none" w:sz="0" w:space="0" w:color="auto"/>
      </w:divBdr>
    </w:div>
    <w:div w:id="1505246881">
      <w:bodyDiv w:val="1"/>
      <w:marLeft w:val="0"/>
      <w:marRight w:val="0"/>
      <w:marTop w:val="0"/>
      <w:marBottom w:val="0"/>
      <w:divBdr>
        <w:top w:val="none" w:sz="0" w:space="0" w:color="auto"/>
        <w:left w:val="none" w:sz="0" w:space="0" w:color="auto"/>
        <w:bottom w:val="none" w:sz="0" w:space="0" w:color="auto"/>
        <w:right w:val="none" w:sz="0" w:space="0" w:color="auto"/>
      </w:divBdr>
    </w:div>
    <w:div w:id="1601061981">
      <w:bodyDiv w:val="1"/>
      <w:marLeft w:val="0"/>
      <w:marRight w:val="0"/>
      <w:marTop w:val="0"/>
      <w:marBottom w:val="0"/>
      <w:divBdr>
        <w:top w:val="none" w:sz="0" w:space="0" w:color="auto"/>
        <w:left w:val="none" w:sz="0" w:space="0" w:color="auto"/>
        <w:bottom w:val="none" w:sz="0" w:space="0" w:color="auto"/>
        <w:right w:val="none" w:sz="0" w:space="0" w:color="auto"/>
      </w:divBdr>
    </w:div>
    <w:div w:id="1730490904">
      <w:bodyDiv w:val="1"/>
      <w:marLeft w:val="0"/>
      <w:marRight w:val="0"/>
      <w:marTop w:val="0"/>
      <w:marBottom w:val="0"/>
      <w:divBdr>
        <w:top w:val="none" w:sz="0" w:space="0" w:color="auto"/>
        <w:left w:val="none" w:sz="0" w:space="0" w:color="auto"/>
        <w:bottom w:val="none" w:sz="0" w:space="0" w:color="auto"/>
        <w:right w:val="none" w:sz="0" w:space="0" w:color="auto"/>
      </w:divBdr>
    </w:div>
    <w:div w:id="1741563980">
      <w:bodyDiv w:val="1"/>
      <w:marLeft w:val="0"/>
      <w:marRight w:val="0"/>
      <w:marTop w:val="0"/>
      <w:marBottom w:val="0"/>
      <w:divBdr>
        <w:top w:val="none" w:sz="0" w:space="0" w:color="auto"/>
        <w:left w:val="none" w:sz="0" w:space="0" w:color="auto"/>
        <w:bottom w:val="none" w:sz="0" w:space="0" w:color="auto"/>
        <w:right w:val="none" w:sz="0" w:space="0" w:color="auto"/>
      </w:divBdr>
    </w:div>
    <w:div w:id="1768840226">
      <w:bodyDiv w:val="1"/>
      <w:marLeft w:val="0"/>
      <w:marRight w:val="0"/>
      <w:marTop w:val="0"/>
      <w:marBottom w:val="0"/>
      <w:divBdr>
        <w:top w:val="none" w:sz="0" w:space="0" w:color="auto"/>
        <w:left w:val="none" w:sz="0" w:space="0" w:color="auto"/>
        <w:bottom w:val="none" w:sz="0" w:space="0" w:color="auto"/>
        <w:right w:val="none" w:sz="0" w:space="0" w:color="auto"/>
      </w:divBdr>
    </w:div>
    <w:div w:id="1821727365">
      <w:bodyDiv w:val="1"/>
      <w:marLeft w:val="0"/>
      <w:marRight w:val="0"/>
      <w:marTop w:val="0"/>
      <w:marBottom w:val="0"/>
      <w:divBdr>
        <w:top w:val="none" w:sz="0" w:space="0" w:color="auto"/>
        <w:left w:val="none" w:sz="0" w:space="0" w:color="auto"/>
        <w:bottom w:val="none" w:sz="0" w:space="0" w:color="auto"/>
        <w:right w:val="none" w:sz="0" w:space="0" w:color="auto"/>
      </w:divBdr>
      <w:divsChild>
        <w:div w:id="20474430">
          <w:marLeft w:val="547"/>
          <w:marRight w:val="0"/>
          <w:marTop w:val="0"/>
          <w:marBottom w:val="0"/>
          <w:divBdr>
            <w:top w:val="none" w:sz="0" w:space="0" w:color="auto"/>
            <w:left w:val="none" w:sz="0" w:space="0" w:color="auto"/>
            <w:bottom w:val="none" w:sz="0" w:space="0" w:color="auto"/>
            <w:right w:val="none" w:sz="0" w:space="0" w:color="auto"/>
          </w:divBdr>
        </w:div>
      </w:divsChild>
    </w:div>
    <w:div w:id="1860579445">
      <w:bodyDiv w:val="1"/>
      <w:marLeft w:val="0"/>
      <w:marRight w:val="0"/>
      <w:marTop w:val="0"/>
      <w:marBottom w:val="0"/>
      <w:divBdr>
        <w:top w:val="none" w:sz="0" w:space="0" w:color="auto"/>
        <w:left w:val="none" w:sz="0" w:space="0" w:color="auto"/>
        <w:bottom w:val="none" w:sz="0" w:space="0" w:color="auto"/>
        <w:right w:val="none" w:sz="0" w:space="0" w:color="auto"/>
      </w:divBdr>
    </w:div>
    <w:div w:id="1928735219">
      <w:bodyDiv w:val="1"/>
      <w:marLeft w:val="0"/>
      <w:marRight w:val="0"/>
      <w:marTop w:val="0"/>
      <w:marBottom w:val="0"/>
      <w:divBdr>
        <w:top w:val="none" w:sz="0" w:space="0" w:color="auto"/>
        <w:left w:val="none" w:sz="0" w:space="0" w:color="auto"/>
        <w:bottom w:val="none" w:sz="0" w:space="0" w:color="auto"/>
        <w:right w:val="none" w:sz="0" w:space="0" w:color="auto"/>
      </w:divBdr>
    </w:div>
    <w:div w:id="1931770384">
      <w:bodyDiv w:val="1"/>
      <w:marLeft w:val="0"/>
      <w:marRight w:val="0"/>
      <w:marTop w:val="0"/>
      <w:marBottom w:val="0"/>
      <w:divBdr>
        <w:top w:val="none" w:sz="0" w:space="0" w:color="auto"/>
        <w:left w:val="none" w:sz="0" w:space="0" w:color="auto"/>
        <w:bottom w:val="none" w:sz="0" w:space="0" w:color="auto"/>
        <w:right w:val="none" w:sz="0" w:space="0" w:color="auto"/>
      </w:divBdr>
    </w:div>
    <w:div w:id="1978296611">
      <w:bodyDiv w:val="1"/>
      <w:marLeft w:val="0"/>
      <w:marRight w:val="0"/>
      <w:marTop w:val="0"/>
      <w:marBottom w:val="0"/>
      <w:divBdr>
        <w:top w:val="none" w:sz="0" w:space="0" w:color="auto"/>
        <w:left w:val="none" w:sz="0" w:space="0" w:color="auto"/>
        <w:bottom w:val="none" w:sz="0" w:space="0" w:color="auto"/>
        <w:right w:val="none" w:sz="0" w:space="0" w:color="auto"/>
      </w:divBdr>
    </w:div>
    <w:div w:id="1993486595">
      <w:bodyDiv w:val="1"/>
      <w:marLeft w:val="0"/>
      <w:marRight w:val="0"/>
      <w:marTop w:val="0"/>
      <w:marBottom w:val="0"/>
      <w:divBdr>
        <w:top w:val="none" w:sz="0" w:space="0" w:color="auto"/>
        <w:left w:val="none" w:sz="0" w:space="0" w:color="auto"/>
        <w:bottom w:val="none" w:sz="0" w:space="0" w:color="auto"/>
        <w:right w:val="none" w:sz="0" w:space="0" w:color="auto"/>
      </w:divBdr>
    </w:div>
    <w:div w:id="2023513285">
      <w:bodyDiv w:val="1"/>
      <w:marLeft w:val="0"/>
      <w:marRight w:val="0"/>
      <w:marTop w:val="0"/>
      <w:marBottom w:val="0"/>
      <w:divBdr>
        <w:top w:val="none" w:sz="0" w:space="0" w:color="auto"/>
        <w:left w:val="none" w:sz="0" w:space="0" w:color="auto"/>
        <w:bottom w:val="none" w:sz="0" w:space="0" w:color="auto"/>
        <w:right w:val="none" w:sz="0" w:space="0" w:color="auto"/>
      </w:divBdr>
    </w:div>
    <w:div w:id="2087266598">
      <w:bodyDiv w:val="1"/>
      <w:marLeft w:val="0"/>
      <w:marRight w:val="0"/>
      <w:marTop w:val="0"/>
      <w:marBottom w:val="0"/>
      <w:divBdr>
        <w:top w:val="none" w:sz="0" w:space="0" w:color="auto"/>
        <w:left w:val="none" w:sz="0" w:space="0" w:color="auto"/>
        <w:bottom w:val="none" w:sz="0" w:space="0" w:color="auto"/>
        <w:right w:val="none" w:sz="0" w:space="0" w:color="auto"/>
      </w:divBdr>
    </w:div>
    <w:div w:id="212291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olombia.c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olombia.c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nviertaencolombia.com.c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7E15E-72EC-41A0-8C41-18D742A8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2277</Words>
  <Characters>12983</Characters>
  <Application>Microsoft Office Word</Application>
  <DocSecurity>4</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15230</CharactersWithSpaces>
  <SharedDoc>false</SharedDoc>
  <HLinks>
    <vt:vector size="66" baseType="variant">
      <vt:variant>
        <vt:i4>1245236</vt:i4>
      </vt:variant>
      <vt:variant>
        <vt:i4>56</vt:i4>
      </vt:variant>
      <vt:variant>
        <vt:i4>0</vt:i4>
      </vt:variant>
      <vt:variant>
        <vt:i4>5</vt:i4>
      </vt:variant>
      <vt:variant>
        <vt:lpwstr/>
      </vt:variant>
      <vt:variant>
        <vt:lpwstr>_Toc397698936</vt:lpwstr>
      </vt:variant>
      <vt:variant>
        <vt:i4>1245236</vt:i4>
      </vt:variant>
      <vt:variant>
        <vt:i4>50</vt:i4>
      </vt:variant>
      <vt:variant>
        <vt:i4>0</vt:i4>
      </vt:variant>
      <vt:variant>
        <vt:i4>5</vt:i4>
      </vt:variant>
      <vt:variant>
        <vt:lpwstr/>
      </vt:variant>
      <vt:variant>
        <vt:lpwstr>_Toc397698935</vt:lpwstr>
      </vt:variant>
      <vt:variant>
        <vt:i4>1245236</vt:i4>
      </vt:variant>
      <vt:variant>
        <vt:i4>44</vt:i4>
      </vt:variant>
      <vt:variant>
        <vt:i4>0</vt:i4>
      </vt:variant>
      <vt:variant>
        <vt:i4>5</vt:i4>
      </vt:variant>
      <vt:variant>
        <vt:lpwstr/>
      </vt:variant>
      <vt:variant>
        <vt:lpwstr>_Toc397698934</vt:lpwstr>
      </vt:variant>
      <vt:variant>
        <vt:i4>1245236</vt:i4>
      </vt:variant>
      <vt:variant>
        <vt:i4>38</vt:i4>
      </vt:variant>
      <vt:variant>
        <vt:i4>0</vt:i4>
      </vt:variant>
      <vt:variant>
        <vt:i4>5</vt:i4>
      </vt:variant>
      <vt:variant>
        <vt:lpwstr/>
      </vt:variant>
      <vt:variant>
        <vt:lpwstr>_Toc397698933</vt:lpwstr>
      </vt:variant>
      <vt:variant>
        <vt:i4>1245236</vt:i4>
      </vt:variant>
      <vt:variant>
        <vt:i4>32</vt:i4>
      </vt:variant>
      <vt:variant>
        <vt:i4>0</vt:i4>
      </vt:variant>
      <vt:variant>
        <vt:i4>5</vt:i4>
      </vt:variant>
      <vt:variant>
        <vt:lpwstr/>
      </vt:variant>
      <vt:variant>
        <vt:lpwstr>_Toc397698932</vt:lpwstr>
      </vt:variant>
      <vt:variant>
        <vt:i4>1245236</vt:i4>
      </vt:variant>
      <vt:variant>
        <vt:i4>26</vt:i4>
      </vt:variant>
      <vt:variant>
        <vt:i4>0</vt:i4>
      </vt:variant>
      <vt:variant>
        <vt:i4>5</vt:i4>
      </vt:variant>
      <vt:variant>
        <vt:lpwstr/>
      </vt:variant>
      <vt:variant>
        <vt:lpwstr>_Toc397698931</vt:lpwstr>
      </vt:variant>
      <vt:variant>
        <vt:i4>1245236</vt:i4>
      </vt:variant>
      <vt:variant>
        <vt:i4>20</vt:i4>
      </vt:variant>
      <vt:variant>
        <vt:i4>0</vt:i4>
      </vt:variant>
      <vt:variant>
        <vt:i4>5</vt:i4>
      </vt:variant>
      <vt:variant>
        <vt:lpwstr/>
      </vt:variant>
      <vt:variant>
        <vt:lpwstr>_Toc397698930</vt:lpwstr>
      </vt:variant>
      <vt:variant>
        <vt:i4>1179700</vt:i4>
      </vt:variant>
      <vt:variant>
        <vt:i4>14</vt:i4>
      </vt:variant>
      <vt:variant>
        <vt:i4>0</vt:i4>
      </vt:variant>
      <vt:variant>
        <vt:i4>5</vt:i4>
      </vt:variant>
      <vt:variant>
        <vt:lpwstr/>
      </vt:variant>
      <vt:variant>
        <vt:lpwstr>_Toc397698929</vt:lpwstr>
      </vt:variant>
      <vt:variant>
        <vt:i4>1179700</vt:i4>
      </vt:variant>
      <vt:variant>
        <vt:i4>8</vt:i4>
      </vt:variant>
      <vt:variant>
        <vt:i4>0</vt:i4>
      </vt:variant>
      <vt:variant>
        <vt:i4>5</vt:i4>
      </vt:variant>
      <vt:variant>
        <vt:lpwstr/>
      </vt:variant>
      <vt:variant>
        <vt:lpwstr>_Toc397698928</vt:lpwstr>
      </vt:variant>
      <vt:variant>
        <vt:i4>1179700</vt:i4>
      </vt:variant>
      <vt:variant>
        <vt:i4>2</vt:i4>
      </vt:variant>
      <vt:variant>
        <vt:i4>0</vt:i4>
      </vt:variant>
      <vt:variant>
        <vt:i4>5</vt:i4>
      </vt:variant>
      <vt:variant>
        <vt:lpwstr/>
      </vt:variant>
      <vt:variant>
        <vt:lpwstr>_Toc397698927</vt:lpwstr>
      </vt:variant>
      <vt:variant>
        <vt:i4>2883587</vt:i4>
      </vt:variant>
      <vt:variant>
        <vt:i4>-1</vt:i4>
      </vt:variant>
      <vt:variant>
        <vt:i4>1026</vt:i4>
      </vt:variant>
      <vt:variant>
        <vt:i4>4</vt:i4>
      </vt:variant>
      <vt:variant>
        <vt:lpwstr>http://www.google.com.co/url?sa=i&amp;rct=j&amp;q=goodyear+logo&amp;source=images&amp;cd=&amp;cad=rja&amp;docid=NtFmQ5NHAS_D-M&amp;tbnid=tYu2CdhcV82NEM:&amp;ved=0CAUQjRw&amp;url=http://logocompany.info/goodyear-logo/&amp;ei=R3qCUabcBIfk8gSyoYHICA&amp;bvm=bv.45921128,d.dmQ&amp;psig=AFQjCNELLiKDYv4NxmNcjuSKkGxxPcFI6A&amp;ust=1367591872668700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DEL PORTILLO CURE</dc:creator>
  <cp:lastModifiedBy>Neslihan Onuralp</cp:lastModifiedBy>
  <cp:revision>2</cp:revision>
  <cp:lastPrinted>2014-12-16T17:33:00Z</cp:lastPrinted>
  <dcterms:created xsi:type="dcterms:W3CDTF">2019-03-11T09:12:00Z</dcterms:created>
  <dcterms:modified xsi:type="dcterms:W3CDTF">2019-03-11T09:12:00Z</dcterms:modified>
</cp:coreProperties>
</file>