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BE" w:rsidRPr="00E07A5E" w:rsidRDefault="00386DBE" w:rsidP="00053C1C">
      <w:pPr>
        <w:spacing w:after="0" w:line="240" w:lineRule="auto"/>
        <w:jc w:val="center"/>
        <w:rPr>
          <w:rFonts w:asciiTheme="majorHAnsi" w:hAnsiTheme="majorHAnsi" w:cs="Times New Roman"/>
          <w:b/>
          <w:caps/>
          <w:color w:val="800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bookmarkStart w:id="0" w:name="_GoBack"/>
      <w:bookmarkEnd w:id="0"/>
      <w:r w:rsidRPr="00E07A5E">
        <w:rPr>
          <w:rFonts w:asciiTheme="majorHAnsi" w:hAnsiTheme="majorHAnsi" w:cs="Times New Roman"/>
          <w:b/>
          <w:caps/>
          <w:color w:val="800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“Büyük Bölge” İş Günleri 2014</w:t>
      </w:r>
    </w:p>
    <w:p w:rsidR="00053C1C" w:rsidRPr="00E07A5E" w:rsidRDefault="00053C1C" w:rsidP="00053C1C">
      <w:pPr>
        <w:spacing w:after="0" w:line="240" w:lineRule="auto"/>
        <w:jc w:val="center"/>
        <w:rPr>
          <w:rFonts w:asciiTheme="majorHAnsi" w:hAnsiTheme="majorHAnsi" w:cs="Times New Roman"/>
          <w:b/>
          <w:caps/>
          <w:color w:val="80008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386DBE" w:rsidRPr="00E07A5E" w:rsidRDefault="00386DBE" w:rsidP="00053C1C">
      <w:pPr>
        <w:spacing w:after="0" w:line="240" w:lineRule="auto"/>
        <w:jc w:val="center"/>
        <w:rPr>
          <w:rFonts w:asciiTheme="majorHAnsi" w:hAnsiTheme="majorHAnsi" w:cs="Times New Roman"/>
          <w:b/>
          <w:caps/>
          <w:color w:val="800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E07A5E">
        <w:rPr>
          <w:rFonts w:asciiTheme="majorHAnsi" w:hAnsiTheme="majorHAnsi" w:cs="Times New Roman"/>
          <w:b/>
          <w:caps/>
          <w:color w:val="800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18&amp;19 Haziran 2014, Lüksemburg</w:t>
      </w:r>
    </w:p>
    <w:p w:rsidR="00053C1C" w:rsidRPr="00E07A5E" w:rsidRDefault="00053C1C" w:rsidP="00053C1C">
      <w:pPr>
        <w:spacing w:after="0" w:line="240" w:lineRule="auto"/>
        <w:jc w:val="center"/>
        <w:rPr>
          <w:rFonts w:asciiTheme="majorHAnsi" w:hAnsiTheme="majorHAnsi" w:cs="Times New Roman"/>
          <w:b/>
          <w:caps/>
          <w:color w:val="80008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386DBE" w:rsidRPr="00E07A5E" w:rsidRDefault="00E07A5E" w:rsidP="00053C1C">
      <w:pPr>
        <w:spacing w:after="0" w:line="240" w:lineRule="auto"/>
        <w:jc w:val="center"/>
        <w:rPr>
          <w:rFonts w:asciiTheme="majorHAnsi" w:hAnsiTheme="majorHAnsi" w:cs="Times New Roman"/>
          <w:b/>
          <w:caps/>
          <w:color w:val="800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E07A5E">
        <w:rPr>
          <w:rFonts w:asciiTheme="majorHAnsi" w:hAnsiTheme="majorHAnsi" w:cs="Times New Roman"/>
          <w:b/>
          <w:color w:val="800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KOBİ’ler ve yenilikçi “start-up”lar için eşsiz bir b2b platformu</w:t>
      </w:r>
    </w:p>
    <w:p w:rsidR="00053C1C" w:rsidRPr="00053C1C" w:rsidRDefault="00053C1C" w:rsidP="00053C1C">
      <w:pPr>
        <w:spacing w:after="0" w:line="240" w:lineRule="auto"/>
        <w:jc w:val="both"/>
        <w:rPr>
          <w:rFonts w:asciiTheme="majorHAnsi" w:hAnsiTheme="majorHAnsi" w:cs="Times New Roman"/>
          <w:sz w:val="24"/>
          <w:szCs w:val="24"/>
        </w:rPr>
      </w:pPr>
    </w:p>
    <w:p w:rsidR="00053C1C" w:rsidRPr="00053C1C" w:rsidRDefault="00053C1C" w:rsidP="00053C1C">
      <w:pPr>
        <w:spacing w:after="0" w:line="240" w:lineRule="auto"/>
        <w:jc w:val="both"/>
        <w:rPr>
          <w:rFonts w:asciiTheme="majorHAnsi" w:hAnsiTheme="majorHAnsi" w:cs="Times New Roman"/>
          <w:sz w:val="24"/>
          <w:szCs w:val="24"/>
        </w:rPr>
      </w:pPr>
      <w:r w:rsidRPr="00053C1C">
        <w:rPr>
          <w:rFonts w:asciiTheme="majorHAnsi" w:hAnsiTheme="majorHAnsi" w:cs="Times New Roman"/>
          <w:sz w:val="24"/>
          <w:szCs w:val="24"/>
        </w:rPr>
        <w:t>“Büyük Bölge”, Almanya’nın Rhineland ve Sarreland, Belçika’nin Walloon, Fransa’nın Lorraine bölgelerinin ve merkezinde Lüksemburg Büyük D</w:t>
      </w:r>
      <w:r w:rsidR="00726E3A">
        <w:rPr>
          <w:rFonts w:asciiTheme="majorHAnsi" w:hAnsiTheme="majorHAnsi" w:cs="Times New Roman"/>
          <w:sz w:val="24"/>
          <w:szCs w:val="24"/>
        </w:rPr>
        <w:t>u</w:t>
      </w:r>
      <w:r w:rsidRPr="00053C1C">
        <w:rPr>
          <w:rFonts w:asciiTheme="majorHAnsi" w:hAnsiTheme="majorHAnsi" w:cs="Times New Roman"/>
          <w:sz w:val="24"/>
          <w:szCs w:val="24"/>
        </w:rPr>
        <w:t xml:space="preserve">kalığı’nın yer aldığı eşsiz bir ekonomik </w:t>
      </w:r>
      <w:r w:rsidR="00726E3A">
        <w:rPr>
          <w:rFonts w:asciiTheme="majorHAnsi" w:hAnsiTheme="majorHAnsi" w:cs="Times New Roman"/>
          <w:sz w:val="24"/>
          <w:szCs w:val="24"/>
        </w:rPr>
        <w:t>bölgeyi</w:t>
      </w:r>
      <w:r w:rsidRPr="00053C1C">
        <w:rPr>
          <w:rFonts w:asciiTheme="majorHAnsi" w:hAnsiTheme="majorHAnsi" w:cs="Times New Roman"/>
          <w:sz w:val="24"/>
          <w:szCs w:val="24"/>
        </w:rPr>
        <w:t xml:space="preserve"> ifade ediyor. Coğrafi olarak 65,400 km</w:t>
      </w:r>
      <w:r w:rsidRPr="00053C1C">
        <w:rPr>
          <w:rFonts w:asciiTheme="majorHAnsi" w:hAnsiTheme="majorHAnsi" w:cs="Times New Roman"/>
          <w:sz w:val="24"/>
          <w:szCs w:val="24"/>
          <w:vertAlign w:val="superscript"/>
        </w:rPr>
        <w:t>2</w:t>
      </w:r>
      <w:r w:rsidRPr="00053C1C">
        <w:rPr>
          <w:rFonts w:asciiTheme="majorHAnsi" w:hAnsiTheme="majorHAnsi" w:cs="Times New Roman"/>
          <w:sz w:val="24"/>
          <w:szCs w:val="24"/>
        </w:rPr>
        <w:t>’lik bir alana yayılan “Büyük Bölge” 11.3 milyon kişiye, 375,000 teşebbüse, 37 üniversiteye ve 370,000 öğrenciye evsahipliği yapıyor. Düzenli olarak 200,000 çalışanın ve tüketicinin sınır ötesi yolculuk yaptığı bu bölge (132,000’den fazla kişi çalışmak için hergün Lüksemburg’a giriş yapıyor), kozmopolit nüfusu ile Avrup</w:t>
      </w:r>
      <w:r w:rsidR="00E07A5E">
        <w:rPr>
          <w:rFonts w:asciiTheme="majorHAnsi" w:hAnsiTheme="majorHAnsi" w:cs="Times New Roman"/>
          <w:sz w:val="24"/>
          <w:szCs w:val="24"/>
        </w:rPr>
        <w:t>a</w:t>
      </w:r>
      <w:r w:rsidRPr="00053C1C">
        <w:rPr>
          <w:rFonts w:asciiTheme="majorHAnsi" w:hAnsiTheme="majorHAnsi" w:cs="Times New Roman"/>
          <w:sz w:val="24"/>
          <w:szCs w:val="24"/>
        </w:rPr>
        <w:t xml:space="preserve"> Birliği için bir model niteliğinde. “Büyük Bölge”nin GSYİH’si</w:t>
      </w:r>
      <w:r w:rsidR="00726E3A">
        <w:rPr>
          <w:rFonts w:asciiTheme="majorHAnsi" w:hAnsiTheme="majorHAnsi" w:cs="Times New Roman"/>
          <w:sz w:val="24"/>
          <w:szCs w:val="24"/>
        </w:rPr>
        <w:t>,</w:t>
      </w:r>
      <w:r w:rsidRPr="00053C1C">
        <w:rPr>
          <w:rFonts w:asciiTheme="majorHAnsi" w:hAnsiTheme="majorHAnsi" w:cs="Times New Roman"/>
          <w:sz w:val="24"/>
          <w:szCs w:val="24"/>
        </w:rPr>
        <w:t xml:space="preserve"> 303 milyar Euro ile AB’nin %2.5’unu temsil ediyor. Avrupa’nın endüstriyel gelişiminin merkezinde yer alan bölge, zengin ve sürdürülebilir ekonomik ilişkilerin </w:t>
      </w:r>
      <w:r w:rsidR="00726E3A">
        <w:rPr>
          <w:rFonts w:asciiTheme="majorHAnsi" w:hAnsiTheme="majorHAnsi" w:cs="Times New Roman"/>
          <w:sz w:val="24"/>
          <w:szCs w:val="24"/>
        </w:rPr>
        <w:t xml:space="preserve">hem </w:t>
      </w:r>
      <w:r w:rsidRPr="00053C1C">
        <w:rPr>
          <w:rFonts w:asciiTheme="majorHAnsi" w:hAnsiTheme="majorHAnsi" w:cs="Times New Roman"/>
          <w:sz w:val="24"/>
          <w:szCs w:val="24"/>
        </w:rPr>
        <w:t xml:space="preserve">kaynağı </w:t>
      </w:r>
      <w:r w:rsidR="00726E3A">
        <w:rPr>
          <w:rFonts w:asciiTheme="majorHAnsi" w:hAnsiTheme="majorHAnsi" w:cs="Times New Roman"/>
          <w:sz w:val="24"/>
          <w:szCs w:val="24"/>
        </w:rPr>
        <w:t>hem de</w:t>
      </w:r>
      <w:r w:rsidRPr="00053C1C">
        <w:rPr>
          <w:rFonts w:asciiTheme="majorHAnsi" w:hAnsiTheme="majorHAnsi" w:cs="Times New Roman"/>
          <w:sz w:val="24"/>
          <w:szCs w:val="24"/>
        </w:rPr>
        <w:t xml:space="preserve"> temsilcisi konumunda. Ekonomik olarak, madencilik ve çelik s</w:t>
      </w:r>
      <w:r w:rsidR="00871108">
        <w:rPr>
          <w:rFonts w:asciiTheme="majorHAnsi" w:hAnsiTheme="majorHAnsi" w:cs="Times New Roman"/>
          <w:sz w:val="24"/>
          <w:szCs w:val="24"/>
        </w:rPr>
        <w:t>ektörüne</w:t>
      </w:r>
      <w:r w:rsidRPr="00053C1C">
        <w:rPr>
          <w:rFonts w:asciiTheme="majorHAnsi" w:hAnsiTheme="majorHAnsi" w:cs="Times New Roman"/>
          <w:sz w:val="24"/>
          <w:szCs w:val="24"/>
        </w:rPr>
        <w:t xml:space="preserve"> dayanan “Büyük Bölge” bugün, hizmet sektöründe, ihracatta, yenilikçilik ve AR&amp;GE’de gelişmeyi hedefliyor.</w:t>
      </w:r>
    </w:p>
    <w:p w:rsidR="00BF64FB" w:rsidRDefault="00BF64FB" w:rsidP="00053C1C">
      <w:pPr>
        <w:spacing w:after="0" w:line="240" w:lineRule="auto"/>
        <w:jc w:val="both"/>
        <w:rPr>
          <w:rFonts w:asciiTheme="majorHAnsi" w:hAnsiTheme="majorHAnsi"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07A5E" w:rsidRPr="00053C1C" w:rsidTr="00B84502">
        <w:tc>
          <w:tcPr>
            <w:tcW w:w="9212" w:type="dxa"/>
            <w:gridSpan w:val="2"/>
          </w:tcPr>
          <w:p w:rsidR="00E07A5E" w:rsidRPr="00E07A5E" w:rsidRDefault="00E07A5E" w:rsidP="00B84502">
            <w:pPr>
              <w:jc w:val="center"/>
              <w:rPr>
                <w:rFonts w:asciiTheme="majorHAnsi" w:hAnsiTheme="majorHAnsi" w:cs="Times New Roman"/>
                <w:b/>
                <w:color w:val="80008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E07A5E">
              <w:rPr>
                <w:rFonts w:asciiTheme="majorHAnsi" w:hAnsiTheme="majorHAnsi" w:cs="Times New Roman"/>
                <w:b/>
                <w:color w:val="80008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Hedef sektörler</w:t>
            </w:r>
          </w:p>
          <w:p w:rsidR="00E07A5E" w:rsidRPr="00053C1C" w:rsidRDefault="00E07A5E" w:rsidP="00B84502">
            <w:pPr>
              <w:jc w:val="center"/>
              <w:rPr>
                <w:rFonts w:asciiTheme="majorHAnsi" w:hAnsiTheme="majorHAnsi" w:cs="Times New Roman"/>
                <w:sz w:val="24"/>
                <w:szCs w:val="24"/>
              </w:rPr>
            </w:pPr>
          </w:p>
        </w:tc>
      </w:tr>
      <w:tr w:rsidR="00E07A5E" w:rsidRPr="00053C1C" w:rsidTr="00B84502">
        <w:tc>
          <w:tcPr>
            <w:tcW w:w="4606" w:type="dxa"/>
          </w:tcPr>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ulaştırma &amp; lojistik</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bankacılık &amp; finans</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çevreci yapılar &amp; sürdürülebilir gelişim</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eğitim &amp; öğretim</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yaşam bilimi &amp; biyoteknoloji</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BİT &amp; e-ticaret</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otomotiv</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makina &amp; metalurji</w:t>
            </w:r>
          </w:p>
        </w:tc>
        <w:tc>
          <w:tcPr>
            <w:tcW w:w="4606" w:type="dxa"/>
          </w:tcPr>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uzay teknolojileri</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hizmetler</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malzemeler &amp; üretim teknolojileri</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pazarlama &amp; iletişim</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çevreci teknolojiler</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çevre &amp; yenilenebilir enerji</w:t>
            </w:r>
          </w:p>
          <w:p w:rsidR="00E07A5E" w:rsidRPr="00053C1C" w:rsidRDefault="00E07A5E" w:rsidP="00B84502">
            <w:pPr>
              <w:jc w:val="both"/>
              <w:rPr>
                <w:rFonts w:asciiTheme="majorHAnsi" w:hAnsiTheme="majorHAnsi" w:cs="Times New Roman"/>
                <w:sz w:val="24"/>
                <w:szCs w:val="24"/>
              </w:rPr>
            </w:pPr>
            <w:r w:rsidRPr="00053C1C">
              <w:rPr>
                <w:rFonts w:asciiTheme="majorHAnsi" w:hAnsiTheme="majorHAnsi" w:cs="Times New Roman"/>
                <w:sz w:val="24"/>
                <w:szCs w:val="24"/>
              </w:rPr>
              <w:t>MICE</w:t>
            </w:r>
          </w:p>
        </w:tc>
      </w:tr>
    </w:tbl>
    <w:p w:rsidR="00E07A5E" w:rsidRDefault="00E07A5E" w:rsidP="00053C1C">
      <w:pPr>
        <w:spacing w:after="0" w:line="240" w:lineRule="auto"/>
        <w:jc w:val="both"/>
        <w:rPr>
          <w:rFonts w:asciiTheme="majorHAnsi" w:hAnsiTheme="majorHAnsi" w:cs="Times New Roman"/>
          <w:sz w:val="24"/>
          <w:szCs w:val="24"/>
        </w:rPr>
      </w:pPr>
    </w:p>
    <w:p w:rsidR="00E07A5E" w:rsidRPr="00053C1C" w:rsidRDefault="00E07A5E" w:rsidP="00053C1C">
      <w:pPr>
        <w:spacing w:after="0" w:line="240" w:lineRule="auto"/>
        <w:jc w:val="both"/>
        <w:rPr>
          <w:rFonts w:asciiTheme="majorHAnsi" w:hAnsiTheme="majorHAnsi" w:cs="Times New Roman"/>
          <w:sz w:val="24"/>
          <w:szCs w:val="24"/>
        </w:rPr>
      </w:pPr>
    </w:p>
    <w:p w:rsidR="00E07A5E" w:rsidRDefault="00BF64FB">
      <w:pPr>
        <w:spacing w:after="0" w:line="240" w:lineRule="auto"/>
        <w:jc w:val="both"/>
        <w:rPr>
          <w:rFonts w:asciiTheme="majorHAnsi" w:hAnsiTheme="majorHAnsi" w:cs="Times New Roman"/>
          <w:sz w:val="24"/>
          <w:szCs w:val="24"/>
        </w:rPr>
      </w:pPr>
      <w:r w:rsidRPr="00053C1C">
        <w:rPr>
          <w:rFonts w:asciiTheme="majorHAnsi" w:hAnsiTheme="majorHAnsi" w:cs="Times New Roman"/>
          <w:b/>
          <w:sz w:val="24"/>
          <w:szCs w:val="24"/>
        </w:rPr>
        <w:t>Lüksemburg Ticaret Odası, “Büyük Bölge” İş Günleri ile, 3. kez düzenlenen profesyonel ticaret fuarına sizleri davet etmekten memnuniyet duyar.</w:t>
      </w:r>
      <w:r w:rsidRPr="00053C1C">
        <w:rPr>
          <w:rFonts w:asciiTheme="majorHAnsi" w:hAnsiTheme="majorHAnsi" w:cs="Times New Roman"/>
          <w:sz w:val="24"/>
          <w:szCs w:val="24"/>
        </w:rPr>
        <w:t xml:space="preserve"> Fuar, özellikle KOBİ’ler ve yenilikçi “start-up”ları hedefliyor. </w:t>
      </w:r>
      <w:r w:rsidR="00804DDB">
        <w:rPr>
          <w:rFonts w:asciiTheme="majorHAnsi" w:hAnsiTheme="majorHAnsi" w:cs="Times New Roman"/>
          <w:sz w:val="24"/>
          <w:szCs w:val="24"/>
        </w:rPr>
        <w:t>Stand açabileceğiniz gibi, ziyaret</w:t>
      </w:r>
      <w:r w:rsidR="00871108">
        <w:rPr>
          <w:rFonts w:asciiTheme="majorHAnsi" w:hAnsiTheme="majorHAnsi" w:cs="Times New Roman"/>
          <w:sz w:val="24"/>
          <w:szCs w:val="24"/>
        </w:rPr>
        <w:t>çi olarak da katılmak mümkün.</w:t>
      </w:r>
      <w:r w:rsidR="00726E3A">
        <w:rPr>
          <w:rFonts w:asciiTheme="majorHAnsi" w:hAnsiTheme="majorHAnsi" w:cs="Times New Roman"/>
          <w:sz w:val="24"/>
          <w:szCs w:val="24"/>
        </w:rPr>
        <w:t xml:space="preserve"> </w:t>
      </w:r>
      <w:r w:rsidRPr="00053C1C">
        <w:rPr>
          <w:rFonts w:asciiTheme="majorHAnsi" w:hAnsiTheme="majorHAnsi" w:cs="Times New Roman"/>
          <w:sz w:val="24"/>
          <w:szCs w:val="24"/>
        </w:rPr>
        <w:t xml:space="preserve">Her yıl düzenlenen </w:t>
      </w:r>
      <w:r w:rsidR="00A33829" w:rsidRPr="00053C1C">
        <w:rPr>
          <w:rFonts w:asciiTheme="majorHAnsi" w:hAnsiTheme="majorHAnsi" w:cs="Times New Roman"/>
          <w:sz w:val="24"/>
          <w:szCs w:val="24"/>
        </w:rPr>
        <w:t>bu</w:t>
      </w:r>
      <w:r w:rsidRPr="00053C1C">
        <w:rPr>
          <w:rFonts w:asciiTheme="majorHAnsi" w:hAnsiTheme="majorHAnsi" w:cs="Times New Roman"/>
          <w:sz w:val="24"/>
          <w:szCs w:val="24"/>
        </w:rPr>
        <w:t xml:space="preserve"> organizasyonunun temelind</w:t>
      </w:r>
      <w:r w:rsidR="00A33829" w:rsidRPr="00053C1C">
        <w:rPr>
          <w:rFonts w:asciiTheme="majorHAnsi" w:hAnsiTheme="majorHAnsi" w:cs="Times New Roman"/>
          <w:sz w:val="24"/>
          <w:szCs w:val="24"/>
        </w:rPr>
        <w:t>e, dinamik ve rahat bir ortamda uluslararası iş bağlantılarını geliştirmek yer alıyor. Organizasyon çeşitliliği ve k</w:t>
      </w:r>
      <w:r w:rsidR="00871108">
        <w:rPr>
          <w:rFonts w:asciiTheme="majorHAnsi" w:hAnsiTheme="majorHAnsi" w:cs="Times New Roman"/>
          <w:sz w:val="24"/>
          <w:szCs w:val="24"/>
        </w:rPr>
        <w:t>atma değer katan b2b hizmetleri</w:t>
      </w:r>
      <w:r w:rsidR="00A33829" w:rsidRPr="00053C1C">
        <w:rPr>
          <w:rFonts w:asciiTheme="majorHAnsi" w:hAnsiTheme="majorHAnsi" w:cs="Times New Roman"/>
          <w:sz w:val="24"/>
          <w:szCs w:val="24"/>
        </w:rPr>
        <w:t xml:space="preserve"> sizi şaşırtacak ve iş görüşmelerinizi eşsiz</w:t>
      </w:r>
      <w:r w:rsidR="00053C1C" w:rsidRPr="00053C1C">
        <w:rPr>
          <w:rFonts w:asciiTheme="majorHAnsi" w:hAnsiTheme="majorHAnsi" w:cs="Times New Roman"/>
          <w:sz w:val="24"/>
          <w:szCs w:val="24"/>
        </w:rPr>
        <w:t xml:space="preserve"> şekilde yapmanızı sağlayacak.</w:t>
      </w:r>
      <w:r w:rsidR="00E07A5E">
        <w:rPr>
          <w:rFonts w:asciiTheme="majorHAnsi" w:hAnsiTheme="majorHAnsi" w:cs="Times New Roman"/>
          <w:sz w:val="24"/>
          <w:szCs w:val="24"/>
        </w:rPr>
        <w:t xml:space="preserve"> </w:t>
      </w:r>
      <w:r w:rsidR="00A33829" w:rsidRPr="00053C1C">
        <w:rPr>
          <w:rFonts w:asciiTheme="majorHAnsi" w:hAnsiTheme="majorHAnsi" w:cs="Times New Roman"/>
          <w:sz w:val="24"/>
          <w:szCs w:val="24"/>
        </w:rPr>
        <w:t>“Büyük Bölge” İş Günleri, tek bir mekanda doğru iş orta</w:t>
      </w:r>
      <w:r w:rsidR="00053C1C" w:rsidRPr="00053C1C">
        <w:rPr>
          <w:rFonts w:asciiTheme="majorHAnsi" w:hAnsiTheme="majorHAnsi" w:cs="Times New Roman"/>
          <w:sz w:val="24"/>
          <w:szCs w:val="24"/>
        </w:rPr>
        <w:t>kları</w:t>
      </w:r>
      <w:r w:rsidR="00A33829" w:rsidRPr="00053C1C">
        <w:rPr>
          <w:rFonts w:asciiTheme="majorHAnsi" w:hAnsiTheme="majorHAnsi" w:cs="Times New Roman"/>
          <w:sz w:val="24"/>
          <w:szCs w:val="24"/>
        </w:rPr>
        <w:t xml:space="preserve"> bulmak için uygun fırsatı sunuyor. 2012’den bu yana, 550 işletme arasında 6500 toplantı organize edildi. </w:t>
      </w:r>
      <w:r w:rsidR="00E07A5E">
        <w:rPr>
          <w:rFonts w:asciiTheme="majorHAnsi" w:hAnsiTheme="majorHAnsi" w:cs="Times New Roman"/>
          <w:sz w:val="24"/>
          <w:szCs w:val="24"/>
        </w:rPr>
        <w:t>Bu organizasyon</w:t>
      </w:r>
      <w:r w:rsidR="00871108">
        <w:rPr>
          <w:rFonts w:asciiTheme="majorHAnsi" w:hAnsiTheme="majorHAnsi" w:cs="Times New Roman"/>
          <w:sz w:val="24"/>
          <w:szCs w:val="24"/>
        </w:rPr>
        <w:t xml:space="preserve"> ile yeni ortaklıklar geliştirecek</w:t>
      </w:r>
      <w:r w:rsidR="00A33829" w:rsidRPr="00053C1C">
        <w:rPr>
          <w:rFonts w:asciiTheme="majorHAnsi" w:hAnsiTheme="majorHAnsi" w:cs="Times New Roman"/>
          <w:sz w:val="24"/>
          <w:szCs w:val="24"/>
        </w:rPr>
        <w:t>, ürün ve hizmet</w:t>
      </w:r>
      <w:r w:rsidR="00E07A5E">
        <w:rPr>
          <w:rFonts w:asciiTheme="majorHAnsi" w:hAnsiTheme="majorHAnsi" w:cs="Times New Roman"/>
          <w:sz w:val="24"/>
          <w:szCs w:val="24"/>
        </w:rPr>
        <w:t xml:space="preserve"> çeşitliliğinizi artıracak ve</w:t>
      </w:r>
      <w:r w:rsidR="00A33829" w:rsidRPr="00053C1C">
        <w:rPr>
          <w:rFonts w:asciiTheme="majorHAnsi" w:hAnsiTheme="majorHAnsi" w:cs="Times New Roman"/>
          <w:sz w:val="24"/>
          <w:szCs w:val="24"/>
        </w:rPr>
        <w:t xml:space="preserve"> yeni teknolojileri keşfe</w:t>
      </w:r>
      <w:r w:rsidR="00E07A5E">
        <w:rPr>
          <w:rFonts w:asciiTheme="majorHAnsi" w:hAnsiTheme="majorHAnsi" w:cs="Times New Roman"/>
          <w:sz w:val="24"/>
          <w:szCs w:val="24"/>
        </w:rPr>
        <w:t>tmenizi sağlayacak</w:t>
      </w:r>
      <w:r w:rsidR="00A33829" w:rsidRPr="00053C1C">
        <w:rPr>
          <w:rFonts w:asciiTheme="majorHAnsi" w:hAnsiTheme="majorHAnsi" w:cs="Times New Roman"/>
          <w:sz w:val="24"/>
          <w:szCs w:val="24"/>
        </w:rPr>
        <w:t xml:space="preserve"> birçok yol</w:t>
      </w:r>
      <w:r w:rsidR="00053C1C" w:rsidRPr="00053C1C">
        <w:rPr>
          <w:rFonts w:asciiTheme="majorHAnsi" w:hAnsiTheme="majorHAnsi" w:cs="Times New Roman"/>
          <w:sz w:val="24"/>
          <w:szCs w:val="24"/>
        </w:rPr>
        <w:t xml:space="preserve"> bulacaksınız... Ayrıca, interak</w:t>
      </w:r>
      <w:r w:rsidR="00A33829" w:rsidRPr="00053C1C">
        <w:rPr>
          <w:rFonts w:asciiTheme="majorHAnsi" w:hAnsiTheme="majorHAnsi" w:cs="Times New Roman"/>
          <w:sz w:val="24"/>
          <w:szCs w:val="24"/>
        </w:rPr>
        <w:t>tif konferanslara, atölye çalışmaları</w:t>
      </w:r>
      <w:r w:rsidR="006D4BC7">
        <w:rPr>
          <w:rFonts w:asciiTheme="majorHAnsi" w:hAnsiTheme="majorHAnsi" w:cs="Times New Roman"/>
          <w:sz w:val="24"/>
          <w:szCs w:val="24"/>
        </w:rPr>
        <w:t>na, networking resepsiyonlarına ve</w:t>
      </w:r>
      <w:r w:rsidR="00A33829" w:rsidRPr="00053C1C">
        <w:rPr>
          <w:rFonts w:asciiTheme="majorHAnsi" w:hAnsiTheme="majorHAnsi" w:cs="Times New Roman"/>
          <w:sz w:val="24"/>
          <w:szCs w:val="24"/>
        </w:rPr>
        <w:t xml:space="preserve"> sempozyumlara</w:t>
      </w:r>
      <w:r w:rsidR="00053C1C" w:rsidRPr="00053C1C">
        <w:rPr>
          <w:rFonts w:asciiTheme="majorHAnsi" w:hAnsiTheme="majorHAnsi" w:cs="Times New Roman"/>
          <w:sz w:val="24"/>
          <w:szCs w:val="24"/>
        </w:rPr>
        <w:t xml:space="preserve"> katılma </w:t>
      </w:r>
      <w:r w:rsidR="00E07A5E" w:rsidRPr="00053C1C">
        <w:rPr>
          <w:rFonts w:asciiTheme="majorHAnsi" w:hAnsiTheme="majorHAnsi" w:cs="Times New Roman"/>
          <w:sz w:val="24"/>
          <w:szCs w:val="24"/>
        </w:rPr>
        <w:t>fırsatı yakalayacaksınız.</w:t>
      </w:r>
      <w:r w:rsidR="00E07A5E">
        <w:rPr>
          <w:rFonts w:asciiTheme="majorHAnsi" w:hAnsiTheme="majorHAnsi" w:cs="Times New Roman"/>
          <w:sz w:val="24"/>
          <w:szCs w:val="24"/>
        </w:rPr>
        <w:t xml:space="preserve"> Böylece,</w:t>
      </w:r>
      <w:r w:rsidR="00053C1C" w:rsidRPr="00053C1C">
        <w:rPr>
          <w:rFonts w:asciiTheme="majorHAnsi" w:hAnsiTheme="majorHAnsi" w:cs="Times New Roman"/>
          <w:sz w:val="24"/>
          <w:szCs w:val="24"/>
        </w:rPr>
        <w:t xml:space="preserve"> iş çevrelerinin </w:t>
      </w:r>
      <w:r w:rsidR="00E07A5E">
        <w:rPr>
          <w:rFonts w:asciiTheme="majorHAnsi" w:hAnsiTheme="majorHAnsi" w:cs="Times New Roman"/>
          <w:sz w:val="24"/>
          <w:szCs w:val="24"/>
        </w:rPr>
        <w:t>ekonomik perspektifini paylaşacaksınız.</w:t>
      </w:r>
    </w:p>
    <w:p w:rsidR="00E07A5E" w:rsidRDefault="00E07A5E">
      <w:pPr>
        <w:spacing w:after="0" w:line="240" w:lineRule="auto"/>
        <w:jc w:val="both"/>
        <w:rPr>
          <w:rFonts w:asciiTheme="majorHAnsi" w:hAnsiTheme="majorHAnsi"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E07A5E" w:rsidTr="003B1D4E">
        <w:tc>
          <w:tcPr>
            <w:tcW w:w="9212" w:type="dxa"/>
          </w:tcPr>
          <w:p w:rsidR="00E07A5E" w:rsidRDefault="00E07A5E" w:rsidP="003B1D4E">
            <w:pPr>
              <w:jc w:val="center"/>
              <w:rPr>
                <w:rFonts w:asciiTheme="majorHAnsi" w:hAnsiTheme="majorHAnsi" w:cs="Times New Roman"/>
                <w:b/>
                <w:color w:val="800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E07A5E">
              <w:rPr>
                <w:rFonts w:asciiTheme="majorHAnsi" w:hAnsiTheme="majorHAnsi" w:cs="Times New Roman"/>
                <w:b/>
                <w:color w:val="800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Kolay ve hızlı kayıt:</w:t>
            </w:r>
          </w:p>
          <w:p w:rsidR="00E07A5E" w:rsidRDefault="00E07A5E" w:rsidP="003B1D4E">
            <w:pPr>
              <w:jc w:val="center"/>
              <w:rPr>
                <w:rFonts w:asciiTheme="majorHAnsi" w:hAnsiTheme="majorHAnsi" w:cs="Times New Roman"/>
                <w:sz w:val="24"/>
                <w:szCs w:val="24"/>
              </w:rPr>
            </w:pPr>
            <w:r w:rsidRPr="00E07A5E">
              <w:rPr>
                <w:rFonts w:asciiTheme="majorHAnsi" w:hAnsiTheme="majorHAnsi" w:cs="Times New Roman"/>
                <w:b/>
                <w:color w:val="800080"/>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www.gr-businessdays.com</w:t>
            </w:r>
          </w:p>
        </w:tc>
      </w:tr>
    </w:tbl>
    <w:p w:rsidR="00E07A5E" w:rsidRPr="00053C1C" w:rsidRDefault="00E07A5E" w:rsidP="00E07A5E">
      <w:pPr>
        <w:spacing w:after="0" w:line="240" w:lineRule="auto"/>
        <w:jc w:val="both"/>
        <w:rPr>
          <w:rFonts w:asciiTheme="majorHAnsi" w:hAnsiTheme="majorHAnsi" w:cs="Times New Roman"/>
          <w:sz w:val="24"/>
          <w:szCs w:val="24"/>
        </w:rPr>
      </w:pPr>
    </w:p>
    <w:sectPr w:rsidR="00E07A5E" w:rsidRPr="00053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8CB"/>
    <w:rsid w:val="00053C1C"/>
    <w:rsid w:val="000675B9"/>
    <w:rsid w:val="00386DBE"/>
    <w:rsid w:val="004F470A"/>
    <w:rsid w:val="00540A94"/>
    <w:rsid w:val="006D4BC7"/>
    <w:rsid w:val="00726E3A"/>
    <w:rsid w:val="00804DDB"/>
    <w:rsid w:val="00871108"/>
    <w:rsid w:val="009273B2"/>
    <w:rsid w:val="0094705A"/>
    <w:rsid w:val="009A26F5"/>
    <w:rsid w:val="009F291E"/>
    <w:rsid w:val="00A33829"/>
    <w:rsid w:val="00AD2CF1"/>
    <w:rsid w:val="00BF64FB"/>
    <w:rsid w:val="00D034FF"/>
    <w:rsid w:val="00E07A5E"/>
    <w:rsid w:val="00E53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Misrahi</dc:creator>
  <cp:lastModifiedBy>Neslihan Kilit</cp:lastModifiedBy>
  <cp:revision>2</cp:revision>
  <cp:lastPrinted>2014-03-18T15:15:00Z</cp:lastPrinted>
  <dcterms:created xsi:type="dcterms:W3CDTF">2014-03-20T08:39:00Z</dcterms:created>
  <dcterms:modified xsi:type="dcterms:W3CDTF">2014-03-20T08:39:00Z</dcterms:modified>
</cp:coreProperties>
</file>